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0"/>
      </w:tblGrid>
      <w:tr w:rsidR="000917BA" w:rsidRPr="000917BA" w:rsidTr="00FF4E6D">
        <w:tc>
          <w:tcPr>
            <w:tcW w:w="10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DB6" w:rsidRPr="000839A2" w:rsidRDefault="00BD7DB6" w:rsidP="006304E8">
            <w:pPr>
              <w:jc w:val="center"/>
              <w:rPr>
                <w:rFonts w:ascii="Arial" w:hAnsi="Arial" w:cs="Arial"/>
                <w:smallCaps/>
                <w:color w:val="000000" w:themeColor="text1"/>
                <w:sz w:val="32"/>
                <w:szCs w:val="32"/>
              </w:rPr>
            </w:pPr>
          </w:p>
          <w:p w:rsidR="00F61D09" w:rsidRPr="000839A2" w:rsidRDefault="00BD7DB6" w:rsidP="006304E8">
            <w:pPr>
              <w:jc w:val="center"/>
              <w:rPr>
                <w:rFonts w:ascii="Arial" w:hAnsi="Arial" w:cs="Arial"/>
                <w:smallCaps/>
                <w:color w:val="000000" w:themeColor="text1"/>
                <w:sz w:val="32"/>
                <w:szCs w:val="32"/>
              </w:rPr>
            </w:pPr>
            <w:r w:rsidRPr="000839A2">
              <w:rPr>
                <w:rFonts w:ascii="Arial" w:hAnsi="Arial" w:cs="Arial"/>
                <w:smallCaps/>
                <w:color w:val="000000" w:themeColor="text1"/>
                <w:sz w:val="32"/>
                <w:szCs w:val="32"/>
              </w:rPr>
              <w:t>F</w:t>
            </w:r>
            <w:r w:rsidR="00F61D09" w:rsidRPr="000839A2">
              <w:rPr>
                <w:rFonts w:ascii="Arial" w:hAnsi="Arial" w:cs="Arial"/>
                <w:smallCaps/>
                <w:color w:val="000000" w:themeColor="text1"/>
                <w:sz w:val="32"/>
                <w:szCs w:val="32"/>
              </w:rPr>
              <w:t>iche de poste de Directeur</w:t>
            </w:r>
            <w:r w:rsidR="00B304F6" w:rsidRPr="000839A2">
              <w:rPr>
                <w:rFonts w:ascii="Arial" w:hAnsi="Arial" w:cs="Arial"/>
                <w:smallCaps/>
                <w:color w:val="000000" w:themeColor="text1"/>
                <w:sz w:val="32"/>
                <w:szCs w:val="32"/>
              </w:rPr>
              <w:t xml:space="preserve"> </w:t>
            </w:r>
            <w:r w:rsidR="00F61D09" w:rsidRPr="000839A2">
              <w:rPr>
                <w:rFonts w:ascii="Arial" w:hAnsi="Arial" w:cs="Arial"/>
                <w:smallCaps/>
                <w:color w:val="000000" w:themeColor="text1"/>
                <w:sz w:val="32"/>
                <w:szCs w:val="32"/>
              </w:rPr>
              <w:t>Adjoint</w:t>
            </w:r>
          </w:p>
          <w:p w:rsidR="00F61D09" w:rsidRPr="000839A2" w:rsidRDefault="00016FF0" w:rsidP="006304E8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0839A2">
              <w:rPr>
                <w:rFonts w:ascii="Arial" w:hAnsi="Arial" w:cs="Arial"/>
                <w:color w:val="000000" w:themeColor="text1"/>
                <w:sz w:val="32"/>
                <w:szCs w:val="32"/>
              </w:rPr>
              <w:t>(Directeur d'H</w:t>
            </w:r>
            <w:r w:rsidR="00F61D09" w:rsidRPr="000839A2">
              <w:rPr>
                <w:rFonts w:ascii="Arial" w:hAnsi="Arial" w:cs="Arial"/>
                <w:color w:val="000000" w:themeColor="text1"/>
                <w:sz w:val="32"/>
                <w:szCs w:val="32"/>
              </w:rPr>
              <w:t>ôpital)</w:t>
            </w:r>
          </w:p>
          <w:p w:rsidR="00F61D09" w:rsidRPr="000839A2" w:rsidRDefault="00F61D09" w:rsidP="006304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917BA" w:rsidRPr="000917BA" w:rsidTr="00FF4E6D">
        <w:trPr>
          <w:trHeight w:val="945"/>
        </w:trPr>
        <w:tc>
          <w:tcPr>
            <w:tcW w:w="10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1D09" w:rsidRPr="000839A2" w:rsidRDefault="00D0308A" w:rsidP="006304E8">
            <w:pPr>
              <w:jc w:val="center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0839A2">
              <w:rPr>
                <w:rFonts w:ascii="Arial" w:hAnsi="Arial" w:cs="Arial"/>
                <w:i/>
                <w:color w:val="000000" w:themeColor="text1"/>
                <w:szCs w:val="20"/>
              </w:rPr>
              <w:t>Document de référence : Réf</w:t>
            </w:r>
            <w:r w:rsidR="00CA38C8" w:rsidRPr="000839A2">
              <w:rPr>
                <w:rFonts w:ascii="Arial" w:hAnsi="Arial" w:cs="Arial"/>
                <w:i/>
                <w:color w:val="000000" w:themeColor="text1"/>
                <w:szCs w:val="20"/>
              </w:rPr>
              <w:t>érentiel métier de Directeur d’H</w:t>
            </w:r>
            <w:r w:rsidRPr="000839A2">
              <w:rPr>
                <w:rFonts w:ascii="Arial" w:hAnsi="Arial" w:cs="Arial"/>
                <w:i/>
                <w:color w:val="000000" w:themeColor="text1"/>
                <w:szCs w:val="20"/>
              </w:rPr>
              <w:t>ôpital</w:t>
            </w:r>
          </w:p>
          <w:p w:rsidR="007974C1" w:rsidRDefault="007974C1" w:rsidP="001C210B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1C210B" w:rsidRPr="000839A2" w:rsidRDefault="001C210B" w:rsidP="001C210B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839A2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Fonctions (profil proposé)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54"/>
            </w:tblGrid>
            <w:tr w:rsidR="000917BA" w:rsidRPr="000917BA">
              <w:trPr>
                <w:trHeight w:val="539"/>
              </w:trPr>
              <w:tc>
                <w:tcPr>
                  <w:tcW w:w="10399" w:type="dxa"/>
                  <w:shd w:val="clear" w:color="auto" w:fill="auto"/>
                </w:tcPr>
                <w:p w:rsidR="00016FF0" w:rsidRPr="000839A2" w:rsidRDefault="00016FF0" w:rsidP="00016FF0">
                  <w:pPr>
                    <w:rPr>
                      <w:rFonts w:ascii="Arial" w:hAnsi="Arial" w:cs="Arial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1C210B" w:rsidRPr="000839A2" w:rsidRDefault="00B93601" w:rsidP="00016FF0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Directeur adjoint chargé des </w:t>
                  </w:r>
                  <w:r w:rsidR="007974C1">
                    <w:rPr>
                      <w:rFonts w:ascii="Arial" w:hAnsi="Arial" w:cs="Arial"/>
                      <w:b/>
                      <w:i/>
                      <w:color w:val="000000" w:themeColor="text1"/>
                      <w:sz w:val="24"/>
                      <w:szCs w:val="24"/>
                    </w:rPr>
                    <w:t>services numériques</w:t>
                  </w:r>
                </w:p>
                <w:p w:rsidR="00016FF0" w:rsidRPr="000839A2" w:rsidRDefault="00016FF0" w:rsidP="00016FF0">
                  <w:pPr>
                    <w:rPr>
                      <w:rFonts w:ascii="Arial" w:hAnsi="Arial" w:cs="Arial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3E711E" w:rsidRPr="000839A2" w:rsidRDefault="003E711E" w:rsidP="006304E8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3E711E" w:rsidRPr="000839A2" w:rsidRDefault="003E711E" w:rsidP="003E711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0839A2">
              <w:rPr>
                <w:rFonts w:ascii="Arial" w:hAnsi="Arial" w:cs="Arial"/>
                <w:color w:val="000000" w:themeColor="text1"/>
                <w:sz w:val="22"/>
              </w:rPr>
              <w:t xml:space="preserve">Cotation de la part fonctions de </w:t>
            </w:r>
            <w:smartTag w:uri="urn:schemas-microsoft-com:office:smarttags" w:element="PersonName">
              <w:smartTagPr>
                <w:attr w:name="ProductID" w:val="la PFR"/>
              </w:smartTagPr>
              <w:r w:rsidRPr="000839A2">
                <w:rPr>
                  <w:rFonts w:ascii="Arial" w:hAnsi="Arial" w:cs="Arial"/>
                  <w:color w:val="000000" w:themeColor="text1"/>
                  <w:sz w:val="22"/>
                </w:rPr>
                <w:t>la PFR</w:t>
              </w:r>
            </w:smartTag>
            <w:r w:rsidRPr="000839A2">
              <w:rPr>
                <w:rFonts w:ascii="Arial" w:hAnsi="Arial" w:cs="Arial"/>
                <w:color w:val="000000" w:themeColor="text1"/>
                <w:sz w:val="22"/>
              </w:rPr>
              <w:t xml:space="preserve"> :</w:t>
            </w:r>
          </w:p>
          <w:p w:rsidR="00DB42E0" w:rsidRPr="000839A2" w:rsidRDefault="00DB42E0" w:rsidP="003E711E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</w:tr>
      <w:tr w:rsidR="000917BA" w:rsidRPr="000917BA" w:rsidTr="00FF4E6D">
        <w:trPr>
          <w:trHeight w:val="540"/>
        </w:trPr>
        <w:tc>
          <w:tcPr>
            <w:tcW w:w="10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F0" w:rsidRPr="000839A2" w:rsidRDefault="00016FF0" w:rsidP="006304E8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3E711E" w:rsidRPr="000839A2" w:rsidRDefault="00B93601" w:rsidP="006304E8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2.6</w:t>
            </w:r>
            <w:r w:rsidR="007974C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(+0.2 dans le cadre de l’exercice multi-site) </w:t>
            </w:r>
          </w:p>
          <w:p w:rsidR="003E711E" w:rsidRPr="000839A2" w:rsidRDefault="003E711E" w:rsidP="006304E8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0917BA" w:rsidRPr="000917BA" w:rsidTr="00FF4E6D">
        <w:trPr>
          <w:trHeight w:val="465"/>
        </w:trPr>
        <w:tc>
          <w:tcPr>
            <w:tcW w:w="10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711E" w:rsidRPr="000839A2" w:rsidRDefault="003E711E" w:rsidP="006304E8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</w:tr>
      <w:tr w:rsidR="000917BA" w:rsidRPr="000917BA" w:rsidTr="00FF4E6D">
        <w:tc>
          <w:tcPr>
            <w:tcW w:w="10480" w:type="dxa"/>
            <w:tcBorders>
              <w:bottom w:val="single" w:sz="4" w:space="0" w:color="auto"/>
            </w:tcBorders>
            <w:shd w:val="clear" w:color="auto" w:fill="auto"/>
          </w:tcPr>
          <w:p w:rsidR="00F61D09" w:rsidRPr="007974C1" w:rsidRDefault="00F61D09">
            <w:pPr>
              <w:rPr>
                <w:rFonts w:ascii="Arial" w:hAnsi="Arial" w:cs="Arial"/>
                <w:color w:val="000000" w:themeColor="text1"/>
              </w:rPr>
            </w:pPr>
            <w:r w:rsidRPr="007974C1">
              <w:rPr>
                <w:rFonts w:ascii="Arial" w:hAnsi="Arial" w:cs="Arial"/>
                <w:color w:val="000000" w:themeColor="text1"/>
              </w:rPr>
              <w:t>Centre hospitalier (ou direction commune) :</w:t>
            </w:r>
            <w:r w:rsidR="008168A7" w:rsidRPr="007974C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93601" w:rsidRPr="007974C1">
              <w:rPr>
                <w:rFonts w:ascii="Arial" w:hAnsi="Arial" w:cs="Arial"/>
                <w:spacing w:val="-3"/>
              </w:rPr>
              <w:t>Centre Hosp</w:t>
            </w:r>
            <w:r w:rsidR="00ED5282">
              <w:rPr>
                <w:rFonts w:ascii="Arial" w:hAnsi="Arial" w:cs="Arial"/>
                <w:spacing w:val="-3"/>
              </w:rPr>
              <w:t>italier Joseph Imbert d’Arles, H</w:t>
            </w:r>
            <w:r w:rsidR="00B93601" w:rsidRPr="007974C1">
              <w:rPr>
                <w:rFonts w:ascii="Arial" w:hAnsi="Arial" w:cs="Arial"/>
                <w:spacing w:val="-3"/>
              </w:rPr>
              <w:t>ôpitaux des Portes de Camargue, EHPAD de Saint-Rémy de Provence et EHPAD de Maussane-les-Alpilles</w:t>
            </w:r>
          </w:p>
          <w:p w:rsidR="00F61D09" w:rsidRPr="007974C1" w:rsidRDefault="00F61D09">
            <w:pPr>
              <w:rPr>
                <w:rFonts w:ascii="Arial" w:hAnsi="Arial" w:cs="Arial"/>
                <w:color w:val="000000" w:themeColor="text1"/>
              </w:rPr>
            </w:pPr>
          </w:p>
          <w:p w:rsidR="00B93601" w:rsidRPr="007974C1" w:rsidRDefault="00B93601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7974C1">
              <w:rPr>
                <w:rFonts w:ascii="Arial" w:hAnsi="Arial" w:cs="Arial"/>
                <w:color w:val="000000" w:themeColor="text1"/>
                <w:szCs w:val="20"/>
              </w:rPr>
              <w:t xml:space="preserve">Affectation du poste : </w:t>
            </w:r>
            <w:r w:rsidRPr="007974C1">
              <w:rPr>
                <w:rFonts w:ascii="Arial" w:hAnsi="Arial" w:cs="Arial"/>
                <w:szCs w:val="20"/>
              </w:rPr>
              <w:t>Centre hospitalier d’Arles</w:t>
            </w:r>
          </w:p>
          <w:p w:rsidR="00F61D09" w:rsidRPr="007974C1" w:rsidRDefault="00F61D09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F61D09" w:rsidRPr="007974C1" w:rsidRDefault="00F61D09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7974C1">
              <w:rPr>
                <w:rFonts w:ascii="Arial" w:hAnsi="Arial" w:cs="Arial"/>
                <w:color w:val="000000" w:themeColor="text1"/>
                <w:szCs w:val="20"/>
              </w:rPr>
              <w:t>Adresse :</w:t>
            </w:r>
            <w:r w:rsidR="000A0272" w:rsidRPr="007974C1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B93601" w:rsidRPr="007974C1">
              <w:rPr>
                <w:rFonts w:ascii="Arial" w:hAnsi="Arial" w:cs="Arial"/>
                <w:szCs w:val="20"/>
              </w:rPr>
              <w:t>BP 80 195 – 13637 Arles cedex</w:t>
            </w:r>
          </w:p>
          <w:p w:rsidR="00F61D09" w:rsidRPr="007974C1" w:rsidRDefault="00F61D09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F61D09" w:rsidRPr="007974C1" w:rsidRDefault="00F61D09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7974C1">
              <w:rPr>
                <w:rFonts w:ascii="Arial" w:hAnsi="Arial" w:cs="Arial"/>
                <w:color w:val="000000" w:themeColor="text1"/>
                <w:szCs w:val="20"/>
              </w:rPr>
              <w:t>Accès par :</w:t>
            </w:r>
            <w:r w:rsidR="00B93601" w:rsidRPr="007974C1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B93601" w:rsidRPr="007974C1">
              <w:rPr>
                <w:rFonts w:ascii="Arial" w:hAnsi="Arial" w:cs="Arial"/>
                <w:szCs w:val="20"/>
              </w:rPr>
              <w:t>Autoroute A54 (sortie 6), TGV (gares Avignon TGV ou Nîmes et bus ou TER)</w:t>
            </w:r>
          </w:p>
          <w:p w:rsidR="00F61D09" w:rsidRPr="007974C1" w:rsidRDefault="00F61D09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F61D09" w:rsidRPr="007974C1" w:rsidRDefault="00F61D09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7974C1">
              <w:rPr>
                <w:rFonts w:ascii="Arial" w:hAnsi="Arial" w:cs="Arial"/>
                <w:color w:val="000000" w:themeColor="text1"/>
                <w:szCs w:val="20"/>
              </w:rPr>
              <w:t>Personne à contacter :</w:t>
            </w:r>
            <w:r w:rsidR="00CA38C8" w:rsidRPr="007974C1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016FF0" w:rsidRPr="007974C1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B93601" w:rsidRPr="007974C1">
              <w:rPr>
                <w:rFonts w:ascii="Arial" w:hAnsi="Arial" w:cs="Arial"/>
                <w:szCs w:val="20"/>
              </w:rPr>
              <w:t xml:space="preserve">Monsieur Laurent DONADILLE, Directeur - </w:t>
            </w:r>
            <w:hyperlink r:id="rId7" w:history="1">
              <w:r w:rsidR="007974C1" w:rsidRPr="007974C1">
                <w:rPr>
                  <w:rStyle w:val="Lienhypertexte"/>
                  <w:rFonts w:ascii="Arial" w:hAnsi="Arial" w:cs="Arial"/>
                  <w:szCs w:val="20"/>
                </w:rPr>
                <w:t>laurent.donadille@ch-arles.fr</w:t>
              </w:r>
            </w:hyperlink>
            <w:r w:rsidR="007974C1" w:rsidRPr="007974C1">
              <w:rPr>
                <w:rFonts w:ascii="Arial" w:hAnsi="Arial" w:cs="Arial"/>
                <w:szCs w:val="20"/>
              </w:rPr>
              <w:t xml:space="preserve"> </w:t>
            </w:r>
          </w:p>
          <w:p w:rsidR="00F61D09" w:rsidRPr="007974C1" w:rsidRDefault="00B93601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7974C1">
              <w:rPr>
                <w:rFonts w:ascii="Arial" w:hAnsi="Arial" w:cs="Arial"/>
                <w:szCs w:val="20"/>
              </w:rPr>
              <w:t>Secrétariat : 04 90 49 29 01</w:t>
            </w:r>
          </w:p>
          <w:p w:rsidR="00F61D09" w:rsidRPr="000839A2" w:rsidRDefault="00F61D09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917BA" w:rsidRPr="000917BA" w:rsidTr="00FF4E6D">
        <w:tc>
          <w:tcPr>
            <w:tcW w:w="10480" w:type="dxa"/>
            <w:tcBorders>
              <w:left w:val="nil"/>
              <w:right w:val="nil"/>
            </w:tcBorders>
            <w:shd w:val="clear" w:color="auto" w:fill="auto"/>
          </w:tcPr>
          <w:p w:rsidR="00F61D09" w:rsidRPr="000839A2" w:rsidRDefault="00F61D09" w:rsidP="006304E8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917BA" w:rsidRPr="000917BA" w:rsidTr="00FF4E6D">
        <w:tc>
          <w:tcPr>
            <w:tcW w:w="10480" w:type="dxa"/>
            <w:shd w:val="clear" w:color="auto" w:fill="auto"/>
            <w:vAlign w:val="center"/>
          </w:tcPr>
          <w:p w:rsidR="00F61D09" w:rsidRPr="000839A2" w:rsidRDefault="00F61D09" w:rsidP="006304E8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39A2">
              <w:rPr>
                <w:rFonts w:ascii="Arial" w:hAnsi="Arial" w:cs="Arial"/>
                <w:color w:val="000000" w:themeColor="text1"/>
                <w:sz w:val="24"/>
                <w:szCs w:val="24"/>
              </w:rPr>
              <w:t>Présentation générale</w:t>
            </w:r>
            <w:r w:rsidR="00D0308A" w:rsidRPr="000839A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et synthétique de l’établissement</w:t>
            </w:r>
          </w:p>
        </w:tc>
      </w:tr>
      <w:tr w:rsidR="000917BA" w:rsidRPr="000917BA" w:rsidTr="00FF4E6D">
        <w:tc>
          <w:tcPr>
            <w:tcW w:w="10480" w:type="dxa"/>
            <w:tcBorders>
              <w:bottom w:val="single" w:sz="4" w:space="0" w:color="auto"/>
            </w:tcBorders>
            <w:shd w:val="clear" w:color="auto" w:fill="auto"/>
          </w:tcPr>
          <w:p w:rsidR="00F61D09" w:rsidRDefault="00D40D77" w:rsidP="0056539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0839A2">
              <w:rPr>
                <w:rFonts w:ascii="Arial" w:hAnsi="Arial" w:cs="Arial"/>
                <w:b/>
                <w:color w:val="000000" w:themeColor="text1"/>
                <w:sz w:val="22"/>
              </w:rPr>
              <w:t>Présentation générale de l'établissement :</w:t>
            </w:r>
          </w:p>
          <w:p w:rsidR="008D7D46" w:rsidRPr="008D7D46" w:rsidRDefault="008D7D46" w:rsidP="008D7D46"/>
          <w:p w:rsidR="00B93601" w:rsidRDefault="00B93601" w:rsidP="0056539D">
            <w:pPr>
              <w:jc w:val="both"/>
              <w:rPr>
                <w:rFonts w:ascii="Arial" w:hAnsi="Arial" w:cs="Arial"/>
              </w:rPr>
            </w:pPr>
            <w:r w:rsidRPr="008D7D46">
              <w:rPr>
                <w:rFonts w:ascii="Arial" w:hAnsi="Arial" w:cs="Arial"/>
              </w:rPr>
              <w:t xml:space="preserve">Etablissement de référence pour </w:t>
            </w:r>
            <w:r w:rsidR="008965BC">
              <w:rPr>
                <w:rFonts w:ascii="Arial" w:hAnsi="Arial" w:cs="Arial"/>
              </w:rPr>
              <w:t>un</w:t>
            </w:r>
            <w:r w:rsidRPr="008D7D46">
              <w:rPr>
                <w:rFonts w:ascii="Arial" w:hAnsi="Arial" w:cs="Arial"/>
              </w:rPr>
              <w:t xml:space="preserve"> bassin de population </w:t>
            </w:r>
            <w:r w:rsidR="008965BC">
              <w:rPr>
                <w:rFonts w:ascii="Arial" w:hAnsi="Arial" w:cs="Arial"/>
              </w:rPr>
              <w:t xml:space="preserve">de 200 000 habitants, </w:t>
            </w:r>
            <w:r w:rsidRPr="008D7D46">
              <w:rPr>
                <w:rFonts w:ascii="Arial" w:hAnsi="Arial" w:cs="Arial"/>
              </w:rPr>
              <w:t>le centre hospitalier d’Arles propose une offre de soins composé</w:t>
            </w:r>
            <w:r w:rsidR="008D7D46">
              <w:rPr>
                <w:rFonts w:ascii="Arial" w:hAnsi="Arial" w:cs="Arial"/>
              </w:rPr>
              <w:t>e</w:t>
            </w:r>
            <w:r w:rsidRPr="008D7D46">
              <w:rPr>
                <w:rFonts w:ascii="Arial" w:hAnsi="Arial" w:cs="Arial"/>
              </w:rPr>
              <w:t xml:space="preserve"> de l'ensemble des activités de médecine, chirurgie, obstétrique, réanimation et surveillance continue, psychiatrie et gériatrie nécessaires pour répondre </w:t>
            </w:r>
            <w:r w:rsidR="00ED5282">
              <w:rPr>
                <w:rFonts w:ascii="Arial" w:hAnsi="Arial" w:cs="Arial"/>
              </w:rPr>
              <w:t>aux</w:t>
            </w:r>
            <w:r w:rsidRPr="008D7D46">
              <w:rPr>
                <w:rFonts w:ascii="Arial" w:hAnsi="Arial" w:cs="Arial"/>
              </w:rPr>
              <w:t xml:space="preserve"> besoins de santé d</w:t>
            </w:r>
            <w:r w:rsidR="008965BC">
              <w:rPr>
                <w:rFonts w:ascii="Arial" w:hAnsi="Arial" w:cs="Arial"/>
              </w:rPr>
              <w:t>u Pays d’Arles.</w:t>
            </w:r>
          </w:p>
          <w:p w:rsidR="00B93601" w:rsidRPr="008D7D46" w:rsidRDefault="00B93601" w:rsidP="0056539D">
            <w:pPr>
              <w:jc w:val="both"/>
              <w:rPr>
                <w:rFonts w:ascii="Arial" w:hAnsi="Arial" w:cs="Arial"/>
              </w:rPr>
            </w:pPr>
          </w:p>
          <w:p w:rsidR="00B93601" w:rsidRPr="008D7D46" w:rsidRDefault="00B93601" w:rsidP="0056539D">
            <w:pPr>
              <w:jc w:val="both"/>
              <w:rPr>
                <w:rFonts w:ascii="Arial" w:hAnsi="Arial" w:cs="Arial"/>
              </w:rPr>
            </w:pPr>
            <w:r w:rsidRPr="008D7D46">
              <w:rPr>
                <w:rFonts w:ascii="Arial" w:hAnsi="Arial" w:cs="Arial"/>
              </w:rPr>
              <w:t xml:space="preserve">Ses activités cliniques et médicotechniques sont réparties en 7 pôles : </w:t>
            </w:r>
          </w:p>
          <w:p w:rsidR="008D7D46" w:rsidRPr="008D7D46" w:rsidRDefault="00B93601" w:rsidP="0056539D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8D7D46">
              <w:rPr>
                <w:rFonts w:ascii="Arial" w:hAnsi="Arial" w:cs="Arial"/>
              </w:rPr>
              <w:t xml:space="preserve">Pôle médecine et spécialités médicales : médecine polyvalente, médecine interne, diabétologie, pneumologie, hôpital de jour de médecine et d’oncologie médicale, gastro-entérologie </w:t>
            </w:r>
          </w:p>
          <w:p w:rsidR="008D7D46" w:rsidRPr="008D7D46" w:rsidRDefault="00B93601" w:rsidP="0056539D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8D7D46">
              <w:rPr>
                <w:rFonts w:ascii="Arial" w:hAnsi="Arial" w:cs="Arial"/>
              </w:rPr>
              <w:t>Pôle chirurgie, spécialités chirurgicales et plateau technique associé : chirurgie digestive, chirurgie urologique, chirurgie orthopédique, gynécologie, ORL, op</w:t>
            </w:r>
            <w:r w:rsidR="007974C1">
              <w:rPr>
                <w:rFonts w:ascii="Arial" w:hAnsi="Arial" w:cs="Arial"/>
              </w:rPr>
              <w:t>htalmologie, chirurgie dentaire, anesthésie</w:t>
            </w:r>
          </w:p>
          <w:p w:rsidR="008D7D46" w:rsidRPr="008D7D46" w:rsidRDefault="00B93601" w:rsidP="0056539D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8D7D46">
              <w:rPr>
                <w:rFonts w:ascii="Arial" w:hAnsi="Arial" w:cs="Arial"/>
              </w:rPr>
              <w:t xml:space="preserve">Pôle urgences-réanimation-cardiologie : accueil des urgences, SMUR, 2 USMP, réanimation et surveillance continue, cardiologie et USIC </w:t>
            </w:r>
          </w:p>
          <w:p w:rsidR="008D7D46" w:rsidRPr="008D7D46" w:rsidRDefault="00B93601" w:rsidP="0056539D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8D7D46">
              <w:rPr>
                <w:rFonts w:ascii="Arial" w:hAnsi="Arial" w:cs="Arial"/>
              </w:rPr>
              <w:t xml:space="preserve">Pôle mère-enfant : maternité, unité de consultations pédiatrique, CAMSP </w:t>
            </w:r>
          </w:p>
          <w:p w:rsidR="008D7D46" w:rsidRPr="008D7D46" w:rsidRDefault="00B93601" w:rsidP="0056539D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8D7D46">
              <w:rPr>
                <w:rFonts w:ascii="Arial" w:hAnsi="Arial" w:cs="Arial"/>
              </w:rPr>
              <w:t xml:space="preserve">Pôle psychiatrie : un secteur de psychiatrie générale avec hospitalisation et structures ambulatoires, CAPEP, un inter-secteur de pédopsychiatrie avec hôpital de jour </w:t>
            </w:r>
          </w:p>
          <w:p w:rsidR="008D7D46" w:rsidRPr="008D7D46" w:rsidRDefault="00B93601" w:rsidP="0056539D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8D7D46">
              <w:rPr>
                <w:rFonts w:ascii="Arial" w:hAnsi="Arial" w:cs="Arial"/>
              </w:rPr>
              <w:t xml:space="preserve">Pôle gériatrie : court séjour et SSR gériatriques, SSIAD avec ESA, deux EHPAD </w:t>
            </w:r>
          </w:p>
          <w:p w:rsidR="0056539D" w:rsidRPr="008D7D46" w:rsidRDefault="00B93601" w:rsidP="0056539D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8D7D46">
              <w:rPr>
                <w:rFonts w:ascii="Arial" w:hAnsi="Arial" w:cs="Arial"/>
              </w:rPr>
              <w:t>Pôle médicotechnique : PUI et stérilisation, laboratoire de biologie médicale, imagerie</w:t>
            </w:r>
          </w:p>
          <w:p w:rsidR="008D7D46" w:rsidRDefault="008D7D46" w:rsidP="008D7D46"/>
          <w:p w:rsidR="008D7D46" w:rsidRDefault="008D7D46" w:rsidP="0056539D">
            <w:pPr>
              <w:jc w:val="both"/>
              <w:rPr>
                <w:rFonts w:ascii="Arial" w:hAnsi="Arial" w:cs="Arial"/>
              </w:rPr>
            </w:pPr>
            <w:r w:rsidRPr="008D7D46">
              <w:rPr>
                <w:rFonts w:ascii="Arial" w:hAnsi="Arial" w:cs="Arial"/>
              </w:rPr>
              <w:t xml:space="preserve">Son plateau technique comprend notamment 2 scanners et 1 IRM </w:t>
            </w:r>
            <w:r w:rsidR="008965BC">
              <w:rPr>
                <w:rFonts w:ascii="Arial" w:hAnsi="Arial" w:cs="Arial"/>
              </w:rPr>
              <w:t>gérés</w:t>
            </w:r>
            <w:r w:rsidRPr="008D7D46">
              <w:rPr>
                <w:rFonts w:ascii="Arial" w:hAnsi="Arial" w:cs="Arial"/>
              </w:rPr>
              <w:t xml:space="preserve"> dans le cadre d’un GCS de droit privé</w:t>
            </w:r>
            <w:r w:rsidR="00ED5282">
              <w:rPr>
                <w:rFonts w:ascii="Arial" w:hAnsi="Arial" w:cs="Arial"/>
              </w:rPr>
              <w:t xml:space="preserve"> (autorisation en cours pour une seconde IRM)</w:t>
            </w:r>
            <w:r w:rsidRPr="008D7D46">
              <w:rPr>
                <w:rFonts w:ascii="Arial" w:hAnsi="Arial" w:cs="Arial"/>
              </w:rPr>
              <w:t xml:space="preserve">, un </w:t>
            </w:r>
            <w:r>
              <w:rPr>
                <w:rFonts w:ascii="Arial" w:hAnsi="Arial" w:cs="Arial"/>
              </w:rPr>
              <w:t xml:space="preserve">pôle médico-sportif </w:t>
            </w:r>
            <w:r w:rsidRPr="008D7D46">
              <w:rPr>
                <w:rFonts w:ascii="Arial" w:hAnsi="Arial" w:cs="Arial"/>
              </w:rPr>
              <w:t xml:space="preserve">avec balnéothérapie, un plateau de cardiologie </w:t>
            </w:r>
            <w:r>
              <w:rPr>
                <w:rFonts w:ascii="Arial" w:hAnsi="Arial" w:cs="Arial"/>
              </w:rPr>
              <w:t>(</w:t>
            </w:r>
            <w:r w:rsidRPr="008D7D46">
              <w:rPr>
                <w:rFonts w:ascii="Arial" w:hAnsi="Arial" w:cs="Arial"/>
              </w:rPr>
              <w:t>électrophysiologie</w:t>
            </w:r>
            <w:r>
              <w:rPr>
                <w:rFonts w:ascii="Arial" w:hAnsi="Arial" w:cs="Arial"/>
              </w:rPr>
              <w:t xml:space="preserve">, pose de </w:t>
            </w:r>
            <w:proofErr w:type="spellStart"/>
            <w:r w:rsidRPr="008D7D46">
              <w:rPr>
                <w:rFonts w:ascii="Arial" w:hAnsi="Arial" w:cs="Arial"/>
              </w:rPr>
              <w:t>pace-makers</w:t>
            </w:r>
            <w:proofErr w:type="spellEnd"/>
            <w:r w:rsidRPr="008D7D46">
              <w:rPr>
                <w:rFonts w:ascii="Arial" w:hAnsi="Arial" w:cs="Arial"/>
              </w:rPr>
              <w:t xml:space="preserve"> et défibrillateurs</w:t>
            </w:r>
            <w:r>
              <w:rPr>
                <w:rFonts w:ascii="Arial" w:hAnsi="Arial" w:cs="Arial"/>
              </w:rPr>
              <w:t>)</w:t>
            </w:r>
            <w:r w:rsidRPr="008D7D46">
              <w:rPr>
                <w:rFonts w:ascii="Arial" w:hAnsi="Arial" w:cs="Arial"/>
              </w:rPr>
              <w:t>, un plateau d’ophtalmologie avec OCT, une salle dédié</w:t>
            </w:r>
            <w:r>
              <w:rPr>
                <w:rFonts w:ascii="Arial" w:hAnsi="Arial" w:cs="Arial"/>
              </w:rPr>
              <w:t>e au bloc pour les endoscopies…</w:t>
            </w:r>
          </w:p>
          <w:p w:rsidR="008D7D46" w:rsidRDefault="008D7D46" w:rsidP="0056539D">
            <w:pPr>
              <w:jc w:val="both"/>
              <w:rPr>
                <w:rFonts w:ascii="Arial" w:hAnsi="Arial" w:cs="Arial"/>
              </w:rPr>
            </w:pPr>
          </w:p>
          <w:p w:rsidR="008D7D46" w:rsidRDefault="008D7D46" w:rsidP="00565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l</w:t>
            </w:r>
            <w:r w:rsidRPr="008D7D46">
              <w:rPr>
                <w:rFonts w:ascii="Arial" w:hAnsi="Arial" w:cs="Arial"/>
              </w:rPr>
              <w:t xml:space="preserve">’établissement est membre du GHT </w:t>
            </w:r>
            <w:r>
              <w:rPr>
                <w:rFonts w:ascii="Arial" w:hAnsi="Arial" w:cs="Arial"/>
              </w:rPr>
              <w:t xml:space="preserve">« Hôpitaux de Provence » qui regroupe l’ensemble des établissements publics des Bouches-du-Rhône autour de l’APHM, </w:t>
            </w:r>
            <w:r w:rsidRPr="008D7D46">
              <w:rPr>
                <w:rFonts w:ascii="Arial" w:hAnsi="Arial" w:cs="Arial"/>
              </w:rPr>
              <w:t>son positionnement géographique à la frontière de l’Occitanie favorise également de</w:t>
            </w:r>
            <w:r w:rsidR="008965BC">
              <w:rPr>
                <w:rFonts w:ascii="Arial" w:hAnsi="Arial" w:cs="Arial"/>
              </w:rPr>
              <w:t>s</w:t>
            </w:r>
            <w:r w:rsidRPr="008D7D46">
              <w:rPr>
                <w:rFonts w:ascii="Arial" w:hAnsi="Arial" w:cs="Arial"/>
              </w:rPr>
              <w:t xml:space="preserve"> coo</w:t>
            </w:r>
            <w:r>
              <w:rPr>
                <w:rFonts w:ascii="Arial" w:hAnsi="Arial" w:cs="Arial"/>
              </w:rPr>
              <w:t>pérations avec le CHU de Nîmes.</w:t>
            </w:r>
          </w:p>
          <w:p w:rsidR="00ED5282" w:rsidRDefault="00ED5282" w:rsidP="00565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Un projet médical partagé élaboré entre le CH d’Arles et les Hôpitaux des Portes de Camargue comprend notamment le développem</w:t>
            </w:r>
            <w:r w:rsidR="008965BC">
              <w:rPr>
                <w:rFonts w:ascii="Arial" w:hAnsi="Arial" w:cs="Arial"/>
              </w:rPr>
              <w:t>ent de consultations avancées,</w:t>
            </w:r>
            <w:r>
              <w:rPr>
                <w:rFonts w:ascii="Arial" w:hAnsi="Arial" w:cs="Arial"/>
              </w:rPr>
              <w:t xml:space="preserve"> la fluidification de l’aval d</w:t>
            </w:r>
            <w:r w:rsidR="008965BC">
              <w:rPr>
                <w:rFonts w:ascii="Arial" w:hAnsi="Arial" w:cs="Arial"/>
              </w:rPr>
              <w:t>es hospitalisations en médecine ou encore la mise en œuvre d’une équipe mobile territoriale de soins palliatifs.</w:t>
            </w:r>
          </w:p>
          <w:p w:rsidR="008D7D46" w:rsidRDefault="008D7D46" w:rsidP="0056539D">
            <w:pPr>
              <w:jc w:val="both"/>
              <w:rPr>
                <w:rFonts w:ascii="Arial" w:hAnsi="Arial" w:cs="Arial"/>
              </w:rPr>
            </w:pPr>
          </w:p>
          <w:p w:rsidR="008D7D46" w:rsidRDefault="008D7D46" w:rsidP="0056539D">
            <w:pPr>
              <w:jc w:val="both"/>
              <w:rPr>
                <w:rFonts w:ascii="Arial" w:hAnsi="Arial" w:cs="Arial"/>
              </w:rPr>
            </w:pPr>
          </w:p>
          <w:p w:rsidR="00CE2470" w:rsidRDefault="008D7D46" w:rsidP="0056539D">
            <w:pPr>
              <w:jc w:val="both"/>
              <w:rPr>
                <w:rFonts w:ascii="Arial" w:hAnsi="Arial" w:cs="Arial"/>
              </w:rPr>
            </w:pPr>
            <w:r w:rsidRPr="008D7D46">
              <w:rPr>
                <w:rFonts w:ascii="Arial" w:hAnsi="Arial" w:cs="Arial"/>
              </w:rPr>
              <w:t>L’équip</w:t>
            </w:r>
            <w:r w:rsidR="007974C1">
              <w:rPr>
                <w:rFonts w:ascii="Arial" w:hAnsi="Arial" w:cs="Arial"/>
              </w:rPr>
              <w:t xml:space="preserve">e de direction commune comprend, </w:t>
            </w:r>
            <w:r w:rsidRPr="008D7D46">
              <w:rPr>
                <w:rFonts w:ascii="Arial" w:hAnsi="Arial" w:cs="Arial"/>
              </w:rPr>
              <w:t xml:space="preserve">autour du chef d’établissement, </w:t>
            </w:r>
            <w:r w:rsidR="00CE2470">
              <w:rPr>
                <w:rFonts w:ascii="Arial" w:hAnsi="Arial" w:cs="Arial"/>
              </w:rPr>
              <w:t xml:space="preserve">11 </w:t>
            </w:r>
            <w:r w:rsidRPr="008D7D46">
              <w:rPr>
                <w:rFonts w:ascii="Arial" w:hAnsi="Arial" w:cs="Arial"/>
              </w:rPr>
              <w:t>directeurs adjoints</w:t>
            </w:r>
            <w:r w:rsidR="00CE2470">
              <w:rPr>
                <w:rFonts w:ascii="Arial" w:hAnsi="Arial" w:cs="Arial"/>
              </w:rPr>
              <w:t xml:space="preserve"> affectés dans une logique de transversalité sur l’e</w:t>
            </w:r>
            <w:r w:rsidR="007974C1">
              <w:rPr>
                <w:rFonts w:ascii="Arial" w:hAnsi="Arial" w:cs="Arial"/>
              </w:rPr>
              <w:t>nsemble des sites et activités.</w:t>
            </w:r>
          </w:p>
          <w:p w:rsidR="007974C1" w:rsidRDefault="007974C1" w:rsidP="00565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Deux directeurs délégués assurent spécifiquement la coordination respectivement des H</w:t>
            </w:r>
            <w:r w:rsidRPr="007974C1">
              <w:rPr>
                <w:rFonts w:ascii="Arial" w:hAnsi="Arial" w:cs="Arial"/>
                <w:spacing w:val="-3"/>
              </w:rPr>
              <w:t>ôpitaux des Portes de Camargue</w:t>
            </w:r>
            <w:r>
              <w:rPr>
                <w:rFonts w:ascii="Arial" w:hAnsi="Arial" w:cs="Arial"/>
                <w:spacing w:val="-3"/>
              </w:rPr>
              <w:t xml:space="preserve"> (Beaucaire et Tarascon) d’une part et d’autre part des </w:t>
            </w:r>
            <w:r w:rsidRPr="007974C1">
              <w:rPr>
                <w:rFonts w:ascii="Arial" w:hAnsi="Arial" w:cs="Arial"/>
                <w:spacing w:val="-3"/>
              </w:rPr>
              <w:t>EHPAD de Saint-Rémy de Provence et de Maussane-les-Alpilles</w:t>
            </w:r>
            <w:r>
              <w:rPr>
                <w:rFonts w:ascii="Arial" w:hAnsi="Arial" w:cs="Arial"/>
                <w:spacing w:val="-3"/>
              </w:rPr>
              <w:t>.</w:t>
            </w:r>
          </w:p>
          <w:p w:rsidR="00CE2470" w:rsidRDefault="00CE2470" w:rsidP="0056539D">
            <w:pPr>
              <w:jc w:val="both"/>
              <w:rPr>
                <w:rFonts w:ascii="Arial" w:hAnsi="Arial" w:cs="Arial"/>
              </w:rPr>
            </w:pPr>
          </w:p>
          <w:p w:rsidR="007974C1" w:rsidRDefault="007974C1" w:rsidP="0056539D">
            <w:pPr>
              <w:jc w:val="both"/>
              <w:rPr>
                <w:rFonts w:ascii="Arial" w:hAnsi="Arial" w:cs="Arial"/>
              </w:rPr>
            </w:pPr>
          </w:p>
          <w:p w:rsidR="007974C1" w:rsidRDefault="007974C1" w:rsidP="00565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 du soutien des</w:t>
            </w:r>
            <w:r w:rsidR="008965BC">
              <w:rPr>
                <w:rFonts w:ascii="Arial" w:hAnsi="Arial" w:cs="Arial"/>
              </w:rPr>
              <w:t xml:space="preserve"> pouvoirs publics</w:t>
            </w:r>
            <w:r>
              <w:rPr>
                <w:rFonts w:ascii="Arial" w:hAnsi="Arial" w:cs="Arial"/>
              </w:rPr>
              <w:t>, le CH d’Arles est engagé depuis plusieurs années dans une dynamique de transformation numérique, de modernisation immobilière, d’approfondissement de la relation Ville-Hôpital en li</w:t>
            </w:r>
            <w:r w:rsidR="00ED5282">
              <w:rPr>
                <w:rFonts w:ascii="Arial" w:hAnsi="Arial" w:cs="Arial"/>
              </w:rPr>
              <w:t xml:space="preserve">en avec la CPTS </w:t>
            </w:r>
            <w:r w:rsidR="008965BC">
              <w:rPr>
                <w:rFonts w:ascii="Arial" w:hAnsi="Arial" w:cs="Arial"/>
              </w:rPr>
              <w:t xml:space="preserve">du pays d’Arles </w:t>
            </w:r>
            <w:r w:rsidR="00ED5282">
              <w:rPr>
                <w:rFonts w:ascii="Arial" w:hAnsi="Arial" w:cs="Arial"/>
              </w:rPr>
              <w:t>et de maîtrise budgétaire.</w:t>
            </w:r>
          </w:p>
          <w:p w:rsidR="007974C1" w:rsidRPr="003B1D15" w:rsidRDefault="007974C1" w:rsidP="007974C1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L’établissement est inscrit dans un projet ambitieux de r</w:t>
            </w:r>
            <w:r w:rsidR="008965BC">
              <w:rPr>
                <w:rFonts w:ascii="Arial" w:hAnsi="Arial" w:cs="Arial"/>
              </w:rPr>
              <w:t>egroupement sur le site de l’hôpital</w:t>
            </w:r>
            <w:r>
              <w:rPr>
                <w:rFonts w:ascii="Arial" w:hAnsi="Arial" w:cs="Arial"/>
              </w:rPr>
              <w:t xml:space="preserve"> de l’offre hospitalière publique-privée du Pays d’Arles se traduisant </w:t>
            </w:r>
            <w:r w:rsidR="008965BC">
              <w:rPr>
                <w:rFonts w:ascii="Arial" w:hAnsi="Arial" w:cs="Arial"/>
              </w:rPr>
              <w:t xml:space="preserve">par </w:t>
            </w:r>
            <w:r>
              <w:rPr>
                <w:rFonts w:ascii="Arial" w:hAnsi="Arial" w:cs="Arial"/>
              </w:rPr>
              <w:t xml:space="preserve">l’accueil sur le site hospitalier de l’activité </w:t>
            </w:r>
            <w:r w:rsidR="008965BC">
              <w:rPr>
                <w:rFonts w:ascii="Arial" w:hAnsi="Arial" w:cs="Arial"/>
              </w:rPr>
              <w:t>d’une</w:t>
            </w:r>
            <w:r>
              <w:rPr>
                <w:rFonts w:ascii="Arial" w:hAnsi="Arial" w:cs="Arial"/>
              </w:rPr>
              <w:t xml:space="preserve"> clinique chirurgicale dans le cadre d’un GCS de droit privé.</w:t>
            </w:r>
          </w:p>
          <w:p w:rsidR="007974C1" w:rsidRPr="00CE2470" w:rsidRDefault="007974C1" w:rsidP="007974C1">
            <w:pPr>
              <w:pStyle w:val="Paragraphedeliste"/>
              <w:ind w:left="72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Ce projet majeur estimé à 24,8 M€ a fait l’objet d’un accompagnement volontariste des pouvoirs publics (15</w:t>
            </w:r>
            <w:r w:rsidR="008965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M€ dans le cadre du Ségur, 3,5 M€ par l’ARS et 2,5M€ par le Conseil régional).</w:t>
            </w:r>
          </w:p>
          <w:p w:rsidR="00AC031C" w:rsidRDefault="007974C1" w:rsidP="007974C1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Après avoir digitalisé de nombreux processus métiers, l’établissement </w:t>
            </w:r>
            <w:r w:rsidR="00AC031C">
              <w:rPr>
                <w:rFonts w:ascii="Arial" w:hAnsi="Arial" w:cs="Arial"/>
                <w:color w:val="000000" w:themeColor="text1"/>
              </w:rPr>
              <w:t>finalise le déploiement du dossier patient informatisé AXIGATE qui est le point central du projet institutionnel « Hôpital sans papier »</w:t>
            </w:r>
          </w:p>
          <w:p w:rsidR="00CE2470" w:rsidRPr="00CE2470" w:rsidRDefault="00CE2470" w:rsidP="00CE2470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CE2470">
              <w:rPr>
                <w:rFonts w:ascii="Arial" w:hAnsi="Arial" w:cs="Arial"/>
              </w:rPr>
              <w:t>Compte tenu d’une situation financière structurellement dégradée</w:t>
            </w:r>
            <w:r>
              <w:rPr>
                <w:rFonts w:ascii="Arial" w:hAnsi="Arial" w:cs="Arial"/>
              </w:rPr>
              <w:t>, l</w:t>
            </w:r>
            <w:r w:rsidR="008D7D46" w:rsidRPr="00CE2470">
              <w:rPr>
                <w:rFonts w:ascii="Arial" w:hAnsi="Arial" w:cs="Arial"/>
              </w:rPr>
              <w:t xml:space="preserve">’établissement est </w:t>
            </w:r>
            <w:r>
              <w:rPr>
                <w:rFonts w:ascii="Arial" w:hAnsi="Arial" w:cs="Arial"/>
              </w:rPr>
              <w:t xml:space="preserve">inscrit dans un dialogue permanent avec l’ARS PACA pour sécuriser la trésorerie (suivi mensuel par le COREVAT) et </w:t>
            </w:r>
            <w:r w:rsidR="00ED5282">
              <w:rPr>
                <w:rFonts w:ascii="Arial" w:hAnsi="Arial" w:cs="Arial"/>
              </w:rPr>
              <w:t>accompagner les projets d’efficience inscrits dans le cadre du</w:t>
            </w:r>
            <w:r>
              <w:rPr>
                <w:rFonts w:ascii="Arial" w:hAnsi="Arial" w:cs="Arial"/>
              </w:rPr>
              <w:t xml:space="preserve"> </w:t>
            </w:r>
            <w:r w:rsidR="008D7D46" w:rsidRPr="00CE2470">
              <w:rPr>
                <w:rFonts w:ascii="Arial" w:hAnsi="Arial" w:cs="Arial"/>
              </w:rPr>
              <w:t xml:space="preserve">Contrat de retour à l’équilibre financier (CREF) </w:t>
            </w:r>
          </w:p>
          <w:p w:rsidR="000917BA" w:rsidRDefault="000917BA" w:rsidP="00AC031C"/>
          <w:p w:rsidR="002A18CB" w:rsidRPr="000839A2" w:rsidRDefault="002A18CB" w:rsidP="0056539D">
            <w:pPr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0839A2">
              <w:rPr>
                <w:rFonts w:ascii="Arial" w:hAnsi="Arial" w:cs="Arial"/>
                <w:b/>
                <w:color w:val="000000" w:themeColor="text1"/>
                <w:sz w:val="22"/>
              </w:rPr>
              <w:t>Présentation des services (nombre de lits, effectifs, budget…) :</w:t>
            </w:r>
          </w:p>
          <w:p w:rsidR="002A18CB" w:rsidRPr="000839A2" w:rsidRDefault="003B1D15" w:rsidP="0056539D">
            <w:pPr>
              <w:jc w:val="both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0"/>
              </w:rPr>
              <w:t>654</w:t>
            </w:r>
            <w:r w:rsidR="002A18CB" w:rsidRPr="000839A2">
              <w:rPr>
                <w:rFonts w:ascii="Arial" w:hAnsi="Arial" w:cs="Arial"/>
                <w:bCs/>
                <w:color w:val="000000" w:themeColor="text1"/>
                <w:szCs w:val="20"/>
              </w:rPr>
              <w:t xml:space="preserve"> Lits </w:t>
            </w:r>
            <w:r>
              <w:rPr>
                <w:rFonts w:ascii="Arial" w:hAnsi="Arial" w:cs="Arial"/>
                <w:bCs/>
                <w:color w:val="000000" w:themeColor="text1"/>
                <w:szCs w:val="20"/>
              </w:rPr>
              <w:t xml:space="preserve">et places </w:t>
            </w:r>
            <w:r w:rsidR="002A18CB" w:rsidRPr="000839A2">
              <w:rPr>
                <w:rFonts w:ascii="Arial" w:hAnsi="Arial" w:cs="Arial"/>
                <w:bCs/>
                <w:color w:val="000000" w:themeColor="text1"/>
                <w:szCs w:val="20"/>
              </w:rPr>
              <w:t xml:space="preserve">– </w:t>
            </w:r>
            <w:r>
              <w:rPr>
                <w:rFonts w:ascii="Arial" w:hAnsi="Arial" w:cs="Arial"/>
                <w:bCs/>
                <w:color w:val="000000" w:themeColor="text1"/>
                <w:szCs w:val="20"/>
              </w:rPr>
              <w:t>1200</w:t>
            </w:r>
            <w:r w:rsidR="002A18CB" w:rsidRPr="000839A2">
              <w:rPr>
                <w:rFonts w:ascii="Arial" w:hAnsi="Arial" w:cs="Arial"/>
                <w:bCs/>
                <w:color w:val="000000" w:themeColor="text1"/>
                <w:szCs w:val="20"/>
              </w:rPr>
              <w:t xml:space="preserve"> agents PNM – </w:t>
            </w:r>
            <w:r>
              <w:rPr>
                <w:rFonts w:ascii="Arial" w:hAnsi="Arial" w:cs="Arial"/>
                <w:bCs/>
                <w:color w:val="000000" w:themeColor="text1"/>
                <w:szCs w:val="20"/>
              </w:rPr>
              <w:t>120</w:t>
            </w:r>
            <w:r w:rsidR="002A18CB" w:rsidRPr="000839A2">
              <w:rPr>
                <w:rFonts w:ascii="Arial" w:hAnsi="Arial" w:cs="Arial"/>
                <w:bCs/>
                <w:color w:val="000000" w:themeColor="text1"/>
                <w:szCs w:val="20"/>
              </w:rPr>
              <w:t xml:space="preserve"> PM</w:t>
            </w:r>
          </w:p>
          <w:p w:rsidR="002A18CB" w:rsidRPr="000839A2" w:rsidRDefault="002A18CB" w:rsidP="0056539D">
            <w:pPr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839A2">
              <w:rPr>
                <w:rFonts w:ascii="Arial" w:hAnsi="Arial" w:cs="Arial"/>
                <w:bCs/>
                <w:color w:val="000000" w:themeColor="text1"/>
                <w:szCs w:val="20"/>
              </w:rPr>
              <w:t>Budget</w:t>
            </w:r>
            <w:r w:rsidR="000917BA" w:rsidRPr="000839A2">
              <w:rPr>
                <w:rFonts w:ascii="Arial" w:hAnsi="Arial" w:cs="Arial"/>
                <w:bCs/>
                <w:color w:val="000000" w:themeColor="text1"/>
                <w:szCs w:val="20"/>
              </w:rPr>
              <w:t xml:space="preserve"> consolidé</w:t>
            </w:r>
            <w:r w:rsidRPr="000839A2">
              <w:rPr>
                <w:rFonts w:ascii="Arial" w:hAnsi="Arial" w:cs="Arial"/>
                <w:bCs/>
                <w:color w:val="000000" w:themeColor="text1"/>
                <w:szCs w:val="20"/>
              </w:rPr>
              <w:t xml:space="preserve"> : </w:t>
            </w:r>
            <w:r w:rsidR="003B1D15">
              <w:rPr>
                <w:rFonts w:ascii="Arial" w:hAnsi="Arial" w:cs="Arial"/>
                <w:bCs/>
                <w:color w:val="000000" w:themeColor="text1"/>
                <w:szCs w:val="20"/>
              </w:rPr>
              <w:t>118</w:t>
            </w:r>
            <w:r w:rsidRPr="000839A2">
              <w:rPr>
                <w:rFonts w:ascii="Arial" w:hAnsi="Arial" w:cs="Arial"/>
                <w:bCs/>
                <w:color w:val="000000" w:themeColor="text1"/>
                <w:szCs w:val="20"/>
              </w:rPr>
              <w:t xml:space="preserve"> million</w:t>
            </w:r>
            <w:r w:rsidR="00A706C9" w:rsidRPr="000839A2">
              <w:rPr>
                <w:rFonts w:ascii="Arial" w:hAnsi="Arial" w:cs="Arial"/>
                <w:bCs/>
                <w:color w:val="000000" w:themeColor="text1"/>
                <w:szCs w:val="20"/>
              </w:rPr>
              <w:t>s</w:t>
            </w:r>
            <w:r w:rsidRPr="000839A2">
              <w:rPr>
                <w:rFonts w:ascii="Arial" w:hAnsi="Arial" w:cs="Arial"/>
                <w:bCs/>
                <w:color w:val="000000" w:themeColor="text1"/>
                <w:szCs w:val="20"/>
              </w:rPr>
              <w:t xml:space="preserve"> d’Euros</w:t>
            </w:r>
            <w:r w:rsidR="00955D87" w:rsidRPr="000839A2">
              <w:rPr>
                <w:rFonts w:ascii="Arial" w:hAnsi="Arial" w:cs="Arial"/>
                <w:bCs/>
                <w:color w:val="000000" w:themeColor="text1"/>
                <w:szCs w:val="20"/>
              </w:rPr>
              <w:t xml:space="preserve">  </w:t>
            </w:r>
          </w:p>
          <w:p w:rsidR="00D40D77" w:rsidRPr="000839A2" w:rsidRDefault="00D40D77" w:rsidP="0056539D">
            <w:pPr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917BA" w:rsidRPr="000917BA" w:rsidTr="00FF4E6D">
        <w:tc>
          <w:tcPr>
            <w:tcW w:w="10480" w:type="dxa"/>
            <w:tcBorders>
              <w:left w:val="nil"/>
              <w:right w:val="nil"/>
            </w:tcBorders>
            <w:shd w:val="clear" w:color="auto" w:fill="auto"/>
          </w:tcPr>
          <w:p w:rsidR="00F61D09" w:rsidRPr="000839A2" w:rsidRDefault="00F61D09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917BA" w:rsidRPr="000917BA" w:rsidTr="00FF4E6D">
        <w:tc>
          <w:tcPr>
            <w:tcW w:w="10480" w:type="dxa"/>
            <w:shd w:val="clear" w:color="auto" w:fill="auto"/>
          </w:tcPr>
          <w:p w:rsidR="00F61D09" w:rsidRPr="000839A2" w:rsidRDefault="00D40D77" w:rsidP="006304E8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39A2">
              <w:rPr>
                <w:rFonts w:ascii="Arial" w:hAnsi="Arial" w:cs="Arial"/>
                <w:color w:val="000000" w:themeColor="text1"/>
                <w:sz w:val="24"/>
                <w:szCs w:val="24"/>
              </w:rPr>
              <w:t>Identification du poste</w:t>
            </w:r>
          </w:p>
        </w:tc>
      </w:tr>
      <w:tr w:rsidR="000917BA" w:rsidRPr="000917BA" w:rsidTr="00FF4E6D">
        <w:tc>
          <w:tcPr>
            <w:tcW w:w="10480" w:type="dxa"/>
            <w:tcBorders>
              <w:bottom w:val="single" w:sz="4" w:space="0" w:color="auto"/>
            </w:tcBorders>
            <w:shd w:val="clear" w:color="auto" w:fill="auto"/>
          </w:tcPr>
          <w:p w:rsidR="008B4BBE" w:rsidRPr="000839A2" w:rsidRDefault="008B4BBE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176DFD" w:rsidRPr="000839A2" w:rsidRDefault="008B4BBE" w:rsidP="00B304F6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0839A2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Position dans </w:t>
            </w:r>
            <w:r w:rsidR="00D0308A" w:rsidRPr="000839A2">
              <w:rPr>
                <w:rFonts w:ascii="Arial" w:hAnsi="Arial" w:cs="Arial"/>
                <w:b/>
                <w:color w:val="000000" w:themeColor="text1"/>
                <w:sz w:val="22"/>
              </w:rPr>
              <w:t>l’organigramme de direction</w:t>
            </w:r>
            <w:r w:rsidRPr="000839A2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:</w:t>
            </w:r>
            <w:r w:rsidR="00B304F6" w:rsidRPr="000839A2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</w:p>
          <w:p w:rsidR="003B1D15" w:rsidRDefault="003B1D15" w:rsidP="000839A2">
            <w:pPr>
              <w:tabs>
                <w:tab w:val="left" w:pos="585"/>
              </w:tabs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  <w:p w:rsidR="00E11134" w:rsidRPr="000839A2" w:rsidRDefault="0071709A" w:rsidP="00EA4BDE">
            <w:pPr>
              <w:tabs>
                <w:tab w:val="left" w:pos="585"/>
              </w:tabs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839A2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Liaisons </w:t>
            </w:r>
            <w:r w:rsidR="00E11134" w:rsidRPr="000839A2">
              <w:rPr>
                <w:rFonts w:ascii="Arial" w:hAnsi="Arial" w:cs="Arial"/>
                <w:b/>
                <w:color w:val="000000" w:themeColor="text1"/>
                <w:sz w:val="22"/>
              </w:rPr>
              <w:t>hiérarchiques</w:t>
            </w:r>
            <w:r w:rsidR="00E11134" w:rsidRPr="000839A2">
              <w:rPr>
                <w:rFonts w:ascii="Arial" w:hAnsi="Arial" w:cs="Arial"/>
                <w:color w:val="000000" w:themeColor="text1"/>
                <w:sz w:val="22"/>
              </w:rPr>
              <w:t xml:space="preserve"> : </w:t>
            </w:r>
            <w:r w:rsidR="00E11134" w:rsidRPr="000839A2">
              <w:rPr>
                <w:rFonts w:ascii="Arial" w:hAnsi="Arial" w:cs="Arial"/>
                <w:color w:val="000000" w:themeColor="text1"/>
                <w:szCs w:val="20"/>
              </w:rPr>
              <w:t xml:space="preserve"> Directeur </w:t>
            </w:r>
          </w:p>
          <w:p w:rsidR="00955D87" w:rsidRPr="000839A2" w:rsidRDefault="00E11134" w:rsidP="00EA4BDE">
            <w:pPr>
              <w:tabs>
                <w:tab w:val="left" w:pos="585"/>
              </w:tabs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839A2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Liaisons </w:t>
            </w:r>
            <w:r w:rsidR="0071709A" w:rsidRPr="000839A2">
              <w:rPr>
                <w:rFonts w:ascii="Arial" w:hAnsi="Arial" w:cs="Arial"/>
                <w:b/>
                <w:color w:val="000000" w:themeColor="text1"/>
                <w:sz w:val="22"/>
              </w:rPr>
              <w:t>fonctionnelles</w:t>
            </w:r>
            <w:r w:rsidRPr="000839A2">
              <w:rPr>
                <w:rFonts w:ascii="Arial" w:hAnsi="Arial" w:cs="Arial"/>
                <w:color w:val="000000" w:themeColor="text1"/>
                <w:sz w:val="22"/>
              </w:rPr>
              <w:t> :</w:t>
            </w:r>
            <w:r w:rsidR="00AC031C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0A0272" w:rsidRPr="000839A2">
              <w:rPr>
                <w:rFonts w:ascii="Arial" w:hAnsi="Arial" w:cs="Arial"/>
                <w:color w:val="000000" w:themeColor="text1"/>
                <w:szCs w:val="20"/>
              </w:rPr>
              <w:t>Equipe de direction</w:t>
            </w:r>
            <w:r w:rsidR="00AC031C">
              <w:rPr>
                <w:rFonts w:ascii="Arial" w:hAnsi="Arial" w:cs="Arial"/>
                <w:color w:val="000000" w:themeColor="text1"/>
                <w:szCs w:val="20"/>
              </w:rPr>
              <w:t>, pôles, établissement du GHT Hôpitaux de Provence, CPTS…</w:t>
            </w:r>
          </w:p>
          <w:p w:rsidR="0071709A" w:rsidRPr="000839A2" w:rsidRDefault="0071709A" w:rsidP="00EA4BDE">
            <w:pPr>
              <w:tabs>
                <w:tab w:val="left" w:pos="585"/>
              </w:tabs>
              <w:ind w:left="1287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8B4BBE" w:rsidRPr="000839A2" w:rsidRDefault="0071709A" w:rsidP="00EA4BDE">
            <w:pPr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0839A2">
              <w:rPr>
                <w:rFonts w:ascii="Arial" w:hAnsi="Arial" w:cs="Arial"/>
                <w:b/>
                <w:color w:val="000000" w:themeColor="text1"/>
                <w:sz w:val="22"/>
              </w:rPr>
              <w:t>Missions générales, permanentes et spécifiques</w:t>
            </w:r>
            <w:r w:rsidRPr="000839A2">
              <w:rPr>
                <w:rFonts w:ascii="Arial" w:hAnsi="Arial" w:cs="Arial"/>
                <w:color w:val="000000" w:themeColor="text1"/>
                <w:sz w:val="22"/>
              </w:rPr>
              <w:t xml:space="preserve"> :</w:t>
            </w:r>
            <w:r w:rsidR="00601E86" w:rsidRPr="000839A2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E74955" w:rsidRPr="000839A2" w:rsidRDefault="00E74955" w:rsidP="00EA4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839A2">
              <w:rPr>
                <w:rFonts w:ascii="Arial" w:hAnsi="Arial" w:cs="Arial"/>
                <w:color w:val="000000" w:themeColor="text1"/>
                <w:szCs w:val="20"/>
              </w:rPr>
              <w:t>Le Directeur</w:t>
            </w:r>
            <w:r w:rsidR="00A706C9" w:rsidRPr="000839A2">
              <w:rPr>
                <w:rFonts w:ascii="Arial" w:hAnsi="Arial" w:cs="Arial"/>
                <w:color w:val="000000" w:themeColor="text1"/>
                <w:szCs w:val="20"/>
              </w:rPr>
              <w:t xml:space="preserve"> ou la Directrice</w:t>
            </w:r>
            <w:r w:rsidRPr="000839A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AC031C">
              <w:rPr>
                <w:rFonts w:ascii="Arial" w:hAnsi="Arial" w:cs="Arial"/>
                <w:color w:val="000000" w:themeColor="text1"/>
                <w:szCs w:val="20"/>
              </w:rPr>
              <w:t>des services numériques</w:t>
            </w:r>
            <w:r w:rsidRPr="000839A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EA4BDE">
              <w:rPr>
                <w:rFonts w:ascii="Arial" w:hAnsi="Arial" w:cs="Arial"/>
                <w:color w:val="000000" w:themeColor="text1"/>
                <w:szCs w:val="20"/>
              </w:rPr>
              <w:t xml:space="preserve">veille à la transversalité de ses 3 secteurs fonctionnels </w:t>
            </w:r>
            <w:r w:rsidR="00ED5282">
              <w:rPr>
                <w:rFonts w:ascii="Arial" w:hAnsi="Arial" w:cs="Arial"/>
                <w:color w:val="000000" w:themeColor="text1"/>
                <w:szCs w:val="20"/>
              </w:rPr>
              <w:t xml:space="preserve">répartis sur 2 sites </w:t>
            </w:r>
            <w:r w:rsidR="00EA4BDE">
              <w:rPr>
                <w:rFonts w:ascii="Arial" w:hAnsi="Arial" w:cs="Arial"/>
                <w:color w:val="000000" w:themeColor="text1"/>
                <w:szCs w:val="20"/>
              </w:rPr>
              <w:t xml:space="preserve">pour piloter la transformation numérique du CH d’Arles </w:t>
            </w:r>
            <w:r w:rsidR="00ED5282">
              <w:rPr>
                <w:rFonts w:ascii="Arial" w:hAnsi="Arial" w:cs="Arial"/>
                <w:color w:val="000000" w:themeColor="text1"/>
                <w:szCs w:val="20"/>
              </w:rPr>
              <w:t xml:space="preserve">et des HPC </w:t>
            </w:r>
            <w:r w:rsidR="00EA4BDE">
              <w:rPr>
                <w:rFonts w:ascii="Arial" w:hAnsi="Arial" w:cs="Arial"/>
                <w:color w:val="000000" w:themeColor="text1"/>
                <w:szCs w:val="20"/>
              </w:rPr>
              <w:t>dans l’objectif d’améliorer l’efficience des processus métier, la qualité des prises en charge et les conditions de travail. Il est notamment chargé d</w:t>
            </w:r>
            <w:r w:rsidRPr="000839A2">
              <w:rPr>
                <w:rFonts w:ascii="Arial" w:hAnsi="Arial" w:cs="Arial"/>
                <w:color w:val="000000" w:themeColor="text1"/>
                <w:szCs w:val="20"/>
              </w:rPr>
              <w:t>es miss</w:t>
            </w:r>
            <w:r w:rsidR="00EA4BDE">
              <w:rPr>
                <w:rFonts w:ascii="Arial" w:hAnsi="Arial" w:cs="Arial"/>
                <w:color w:val="000000" w:themeColor="text1"/>
                <w:szCs w:val="20"/>
              </w:rPr>
              <w:t>ions et activités suivantes</w:t>
            </w:r>
          </w:p>
          <w:p w:rsidR="00830350" w:rsidRPr="000839A2" w:rsidRDefault="00830350" w:rsidP="00EA4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E74955" w:rsidRPr="000839A2" w:rsidRDefault="00E74955" w:rsidP="00EA4BDE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839A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Pilotage stratégique </w:t>
            </w:r>
            <w:r w:rsidR="00185035">
              <w:rPr>
                <w:rFonts w:ascii="Arial" w:hAnsi="Arial" w:cs="Arial"/>
                <w:b/>
                <w:color w:val="000000" w:themeColor="text1"/>
                <w:szCs w:val="20"/>
              </w:rPr>
              <w:t>et m</w:t>
            </w:r>
            <w:r w:rsidR="00185035" w:rsidRPr="000839A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anagement opérationnel </w:t>
            </w:r>
            <w:r w:rsidRPr="000839A2">
              <w:rPr>
                <w:rFonts w:ascii="Arial" w:hAnsi="Arial" w:cs="Arial"/>
                <w:b/>
                <w:color w:val="000000" w:themeColor="text1"/>
                <w:szCs w:val="20"/>
              </w:rPr>
              <w:t>du système d’information</w:t>
            </w:r>
          </w:p>
          <w:p w:rsidR="00E74955" w:rsidRDefault="00EA4BDE" w:rsidP="00EA4BDE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M</w:t>
            </w:r>
            <w:r w:rsidR="00E74955" w:rsidRPr="000839A2">
              <w:rPr>
                <w:rFonts w:ascii="Arial" w:hAnsi="Arial" w:cs="Arial"/>
                <w:color w:val="000000" w:themeColor="text1"/>
                <w:szCs w:val="20"/>
              </w:rPr>
              <w:t xml:space="preserve">ise en </w:t>
            </w:r>
            <w:r w:rsidR="000363BE" w:rsidRPr="000917BA">
              <w:rPr>
                <w:rFonts w:ascii="Arial" w:hAnsi="Arial" w:cs="Arial"/>
                <w:color w:val="000000" w:themeColor="text1"/>
                <w:szCs w:val="20"/>
              </w:rPr>
              <w:t>œuvre</w:t>
            </w:r>
            <w:r w:rsidR="00E74955" w:rsidRPr="000839A2">
              <w:rPr>
                <w:rFonts w:ascii="Arial" w:hAnsi="Arial" w:cs="Arial"/>
                <w:color w:val="000000" w:themeColor="text1"/>
                <w:szCs w:val="20"/>
              </w:rPr>
              <w:t xml:space="preserve"> du schéma directeur du système d’information</w:t>
            </w:r>
            <w:r w:rsidR="0011040C" w:rsidRPr="000839A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AC031C">
              <w:rPr>
                <w:rFonts w:ascii="Arial" w:hAnsi="Arial" w:cs="Arial"/>
                <w:color w:val="000000" w:themeColor="text1"/>
                <w:szCs w:val="20"/>
              </w:rPr>
              <w:t xml:space="preserve">avec le soucis d’un dialogue accru avec les clients internes </w:t>
            </w:r>
            <w:r w:rsidR="0011040C" w:rsidRPr="000839A2">
              <w:rPr>
                <w:rFonts w:ascii="Arial" w:hAnsi="Arial" w:cs="Arial"/>
                <w:color w:val="000000" w:themeColor="text1"/>
                <w:szCs w:val="20"/>
              </w:rPr>
              <w:t>et les instances</w:t>
            </w:r>
            <w:r w:rsidR="00F7123D">
              <w:rPr>
                <w:rFonts w:ascii="Arial" w:hAnsi="Arial" w:cs="Arial"/>
                <w:color w:val="000000" w:themeColor="text1"/>
                <w:szCs w:val="20"/>
              </w:rPr>
              <w:t xml:space="preserve"> : </w:t>
            </w:r>
            <w:r w:rsidR="00F7123D" w:rsidRPr="00F7123D">
              <w:rPr>
                <w:rFonts w:ascii="Arial" w:hAnsi="Arial" w:cs="Arial"/>
                <w:i/>
                <w:color w:val="000000" w:themeColor="text1"/>
                <w:szCs w:val="20"/>
              </w:rPr>
              <w:t>convergence applicative au sein du GHT</w:t>
            </w:r>
            <w:r w:rsidR="008965BC">
              <w:rPr>
                <w:rFonts w:ascii="Arial" w:hAnsi="Arial" w:cs="Arial"/>
                <w:i/>
                <w:color w:val="000000" w:themeColor="text1"/>
                <w:szCs w:val="20"/>
              </w:rPr>
              <w:t xml:space="preserve"> HDP</w:t>
            </w:r>
            <w:r w:rsidR="00F7123D" w:rsidRPr="00F7123D">
              <w:rPr>
                <w:rFonts w:ascii="Arial" w:hAnsi="Arial" w:cs="Arial"/>
                <w:i/>
                <w:color w:val="000000" w:themeColor="text1"/>
                <w:szCs w:val="20"/>
              </w:rPr>
              <w:t>, création d’un Comité stratégique, communication dans les supports institutionnels</w:t>
            </w:r>
            <w:r w:rsidR="008965BC">
              <w:rPr>
                <w:rFonts w:ascii="Arial" w:hAnsi="Arial" w:cs="Arial"/>
                <w:i/>
                <w:color w:val="000000" w:themeColor="text1"/>
                <w:szCs w:val="20"/>
              </w:rPr>
              <w:t xml:space="preserve"> et numériques (site Internet)</w:t>
            </w:r>
            <w:r w:rsidR="00F7123D" w:rsidRPr="00F7123D">
              <w:rPr>
                <w:rFonts w:ascii="Arial" w:hAnsi="Arial" w:cs="Arial"/>
                <w:i/>
                <w:color w:val="000000" w:themeColor="text1"/>
                <w:szCs w:val="20"/>
              </w:rPr>
              <w:t xml:space="preserve">, </w:t>
            </w:r>
            <w:proofErr w:type="spellStart"/>
            <w:r w:rsidR="00F7123D" w:rsidRPr="00F7123D">
              <w:rPr>
                <w:rFonts w:ascii="Arial" w:hAnsi="Arial" w:cs="Arial"/>
                <w:i/>
                <w:color w:val="000000" w:themeColor="text1"/>
                <w:szCs w:val="20"/>
              </w:rPr>
              <w:t>co</w:t>
            </w:r>
            <w:proofErr w:type="spellEnd"/>
            <w:r w:rsidR="00F7123D" w:rsidRPr="00F7123D">
              <w:rPr>
                <w:rFonts w:ascii="Arial" w:hAnsi="Arial" w:cs="Arial"/>
                <w:i/>
                <w:color w:val="000000" w:themeColor="text1"/>
                <w:szCs w:val="20"/>
              </w:rPr>
              <w:t xml:space="preserve">-animation avec la CPTS </w:t>
            </w:r>
            <w:r w:rsidR="008965BC">
              <w:rPr>
                <w:rFonts w:ascii="Arial" w:hAnsi="Arial" w:cs="Arial"/>
                <w:i/>
                <w:color w:val="000000" w:themeColor="text1"/>
                <w:szCs w:val="20"/>
              </w:rPr>
              <w:t xml:space="preserve">du pays d’Arles </w:t>
            </w:r>
            <w:r w:rsidR="00F7123D" w:rsidRPr="00F7123D">
              <w:rPr>
                <w:rFonts w:ascii="Arial" w:hAnsi="Arial" w:cs="Arial"/>
                <w:i/>
                <w:color w:val="000000" w:themeColor="text1"/>
                <w:szCs w:val="20"/>
              </w:rPr>
              <w:t xml:space="preserve">du </w:t>
            </w:r>
            <w:r w:rsidR="008965BC">
              <w:rPr>
                <w:rFonts w:ascii="Arial" w:hAnsi="Arial" w:cs="Arial"/>
                <w:i/>
                <w:color w:val="000000" w:themeColor="text1"/>
                <w:szCs w:val="20"/>
              </w:rPr>
              <w:t xml:space="preserve">Conseil en santé numérique, </w:t>
            </w:r>
          </w:p>
          <w:p w:rsidR="00185035" w:rsidRDefault="00185035" w:rsidP="00EA4BDE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P</w:t>
            </w:r>
            <w:r w:rsidR="005B58AF">
              <w:rPr>
                <w:rFonts w:ascii="Arial" w:hAnsi="Arial" w:cs="Arial"/>
                <w:color w:val="000000" w:themeColor="text1"/>
                <w:szCs w:val="20"/>
              </w:rPr>
              <w:t>iloter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EA4BDE">
              <w:rPr>
                <w:rFonts w:ascii="Arial" w:hAnsi="Arial" w:cs="Arial"/>
                <w:color w:val="000000" w:themeColor="text1"/>
                <w:szCs w:val="20"/>
              </w:rPr>
              <w:t xml:space="preserve">le projet « Hôpital sans papier »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: </w:t>
            </w:r>
            <w:r w:rsidRPr="005B58AF">
              <w:rPr>
                <w:rFonts w:ascii="Arial" w:hAnsi="Arial" w:cs="Arial"/>
                <w:i/>
                <w:color w:val="000000" w:themeColor="text1"/>
                <w:szCs w:val="20"/>
              </w:rPr>
              <w:t xml:space="preserve">finalisation du déploiement du DPI </w:t>
            </w:r>
            <w:proofErr w:type="spellStart"/>
            <w:r w:rsidRPr="005B58AF">
              <w:rPr>
                <w:rFonts w:ascii="Arial" w:hAnsi="Arial" w:cs="Arial"/>
                <w:i/>
                <w:color w:val="000000" w:themeColor="text1"/>
                <w:szCs w:val="20"/>
              </w:rPr>
              <w:t>Axigate</w:t>
            </w:r>
            <w:proofErr w:type="spellEnd"/>
            <w:r w:rsidRPr="005B58AF">
              <w:rPr>
                <w:rFonts w:ascii="Arial" w:hAnsi="Arial" w:cs="Arial"/>
                <w:i/>
                <w:color w:val="000000" w:themeColor="text1"/>
                <w:szCs w:val="20"/>
              </w:rPr>
              <w:t xml:space="preserve">, </w:t>
            </w:r>
            <w:r w:rsidR="00EA4BDE" w:rsidRPr="005B58AF">
              <w:rPr>
                <w:rFonts w:ascii="Arial" w:hAnsi="Arial" w:cs="Arial"/>
                <w:i/>
                <w:color w:val="000000" w:themeColor="text1"/>
                <w:szCs w:val="20"/>
              </w:rPr>
              <w:t>i</w:t>
            </w:r>
            <w:r w:rsidRPr="005B58AF">
              <w:rPr>
                <w:rFonts w:ascii="Arial" w:hAnsi="Arial" w:cs="Arial"/>
                <w:i/>
                <w:color w:val="000000" w:themeColor="text1"/>
                <w:szCs w:val="20"/>
              </w:rPr>
              <w:t xml:space="preserve">nformatisation de l’unité de production culinaire via Hestia, </w:t>
            </w:r>
            <w:r w:rsidR="00C15BDB" w:rsidRPr="005B58AF">
              <w:rPr>
                <w:rFonts w:ascii="Arial" w:hAnsi="Arial" w:cs="Arial"/>
                <w:i/>
                <w:color w:val="000000" w:themeColor="text1"/>
                <w:szCs w:val="20"/>
              </w:rPr>
              <w:t>extension du système d’information décisionnel</w:t>
            </w:r>
            <w:r w:rsidR="005B58AF">
              <w:rPr>
                <w:rFonts w:ascii="Arial" w:hAnsi="Arial" w:cs="Arial"/>
                <w:i/>
                <w:color w:val="000000" w:themeColor="text1"/>
                <w:szCs w:val="20"/>
              </w:rPr>
              <w:t>, dématérialisation d</w:t>
            </w:r>
            <w:r w:rsidR="00EA4BDE" w:rsidRPr="005B58AF">
              <w:rPr>
                <w:rFonts w:ascii="Arial" w:hAnsi="Arial" w:cs="Arial"/>
                <w:i/>
                <w:color w:val="000000" w:themeColor="text1"/>
                <w:szCs w:val="20"/>
              </w:rPr>
              <w:t xml:space="preserve">es ECG et </w:t>
            </w:r>
            <w:r w:rsidR="008965BC">
              <w:rPr>
                <w:rFonts w:ascii="Arial" w:hAnsi="Arial" w:cs="Arial"/>
                <w:i/>
                <w:color w:val="000000" w:themeColor="text1"/>
                <w:szCs w:val="20"/>
              </w:rPr>
              <w:t>d</w:t>
            </w:r>
            <w:r w:rsidR="00EA4BDE" w:rsidRPr="005B58AF">
              <w:rPr>
                <w:rFonts w:ascii="Arial" w:hAnsi="Arial" w:cs="Arial"/>
                <w:i/>
                <w:color w:val="000000" w:themeColor="text1"/>
                <w:szCs w:val="20"/>
              </w:rPr>
              <w:t>es échographies cardiaques…</w:t>
            </w:r>
          </w:p>
          <w:p w:rsidR="00C15BDB" w:rsidRPr="00287865" w:rsidRDefault="00C15BDB" w:rsidP="00EA4BDE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Améliorer la qualité de service en renforçant une logique clients-fournisseurs</w:t>
            </w:r>
            <w:r w:rsidR="005B58AF">
              <w:rPr>
                <w:rFonts w:ascii="Arial" w:hAnsi="Arial" w:cs="Arial"/>
                <w:color w:val="000000" w:themeColor="text1"/>
                <w:szCs w:val="20"/>
              </w:rPr>
              <w:t xml:space="preserve"> : </w:t>
            </w:r>
            <w:r w:rsidR="00EA4BDE" w:rsidRPr="005B58AF">
              <w:rPr>
                <w:rFonts w:ascii="Arial" w:hAnsi="Arial" w:cs="Arial"/>
                <w:i/>
                <w:color w:val="000000" w:themeColor="text1"/>
                <w:szCs w:val="20"/>
              </w:rPr>
              <w:t>mutualisation des ressources respectives du CH d’Arles et des HPC</w:t>
            </w:r>
            <w:r w:rsidR="005B58AF" w:rsidRPr="005B58AF">
              <w:rPr>
                <w:rFonts w:ascii="Arial" w:hAnsi="Arial" w:cs="Arial"/>
                <w:i/>
                <w:color w:val="000000" w:themeColor="text1"/>
                <w:szCs w:val="20"/>
              </w:rPr>
              <w:t>,</w:t>
            </w:r>
            <w:r w:rsidR="00EA4BDE" w:rsidRPr="005B58AF">
              <w:rPr>
                <w:rFonts w:ascii="Arial" w:hAnsi="Arial" w:cs="Arial"/>
                <w:i/>
                <w:color w:val="000000" w:themeColor="text1"/>
                <w:szCs w:val="20"/>
              </w:rPr>
              <w:t xml:space="preserve"> centralisation de la hotline, </w:t>
            </w:r>
            <w:r w:rsidRPr="005B58AF">
              <w:rPr>
                <w:rFonts w:ascii="Arial" w:hAnsi="Arial" w:cs="Arial"/>
                <w:i/>
                <w:color w:val="000000" w:themeColor="text1"/>
                <w:szCs w:val="20"/>
              </w:rPr>
              <w:t>ouverture sur l’extérieur de la GMAO, fluidification des processus, mise en œuvre d’indicateurs</w:t>
            </w:r>
            <w:r w:rsidR="005B58AF">
              <w:rPr>
                <w:rFonts w:ascii="Arial" w:hAnsi="Arial" w:cs="Arial"/>
                <w:i/>
                <w:color w:val="000000" w:themeColor="text1"/>
                <w:szCs w:val="20"/>
              </w:rPr>
              <w:t xml:space="preserve"> et de mesure de la satisfaction</w:t>
            </w:r>
            <w:r w:rsidRPr="005B58AF">
              <w:rPr>
                <w:rFonts w:ascii="Arial" w:hAnsi="Arial" w:cs="Arial"/>
                <w:i/>
                <w:color w:val="000000" w:themeColor="text1"/>
                <w:szCs w:val="20"/>
              </w:rPr>
              <w:t>…</w:t>
            </w:r>
          </w:p>
          <w:p w:rsidR="00287865" w:rsidRPr="00287865" w:rsidRDefault="00287865" w:rsidP="00EA4BDE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287865">
              <w:rPr>
                <w:rFonts w:ascii="Arial" w:hAnsi="Arial" w:cs="Arial"/>
                <w:color w:val="000000" w:themeColor="text1"/>
                <w:szCs w:val="20"/>
              </w:rPr>
              <w:t>Rechercher activement des marges de financements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 : </w:t>
            </w:r>
            <w:r w:rsidRPr="00287865">
              <w:rPr>
                <w:rFonts w:ascii="Arial" w:hAnsi="Arial" w:cs="Arial"/>
                <w:i/>
                <w:color w:val="000000" w:themeColor="text1"/>
                <w:szCs w:val="20"/>
              </w:rPr>
              <w:t>réponse aux appels à projets, liens avec l’ARS…</w:t>
            </w:r>
          </w:p>
          <w:p w:rsidR="00830350" w:rsidRPr="000839A2" w:rsidRDefault="00830350" w:rsidP="00EA4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185035" w:rsidRPr="000839A2" w:rsidRDefault="00185035" w:rsidP="00EA4BDE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839A2">
              <w:rPr>
                <w:rFonts w:ascii="Arial" w:hAnsi="Arial" w:cs="Arial"/>
                <w:b/>
                <w:color w:val="000000" w:themeColor="text1"/>
                <w:szCs w:val="20"/>
              </w:rPr>
              <w:t>Gestion de la sécurité du système d’information</w:t>
            </w:r>
            <w:r w:rsidRPr="000839A2">
              <w:rPr>
                <w:rFonts w:ascii="Arial" w:hAnsi="Arial" w:cs="Arial"/>
                <w:color w:val="000000" w:themeColor="text1"/>
                <w:szCs w:val="20"/>
              </w:rPr>
              <w:t xml:space="preserve"> :</w:t>
            </w:r>
          </w:p>
          <w:p w:rsidR="00185035" w:rsidRDefault="00185035" w:rsidP="00EA4BDE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Dans la con</w:t>
            </w:r>
            <w:r w:rsidR="007660A3">
              <w:rPr>
                <w:rFonts w:ascii="Arial" w:hAnsi="Arial" w:cs="Arial"/>
                <w:color w:val="000000" w:themeColor="text1"/>
                <w:szCs w:val="20"/>
              </w:rPr>
              <w:t>tinuité du plan d’action établi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à l’issue de la cyberattaque subie en août 2021, d</w:t>
            </w:r>
            <w:r w:rsidRPr="000839A2">
              <w:rPr>
                <w:rFonts w:ascii="Arial" w:hAnsi="Arial" w:cs="Arial"/>
                <w:color w:val="000000" w:themeColor="text1"/>
                <w:szCs w:val="20"/>
              </w:rPr>
              <w:t>éfinir et mettre en œuvre les besoins liés à la sécurité des systèmes d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’information des établissements</w:t>
            </w:r>
            <w:r w:rsidRPr="000839A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8965BC">
              <w:rPr>
                <w:rFonts w:ascii="Arial" w:hAnsi="Arial" w:cs="Arial"/>
                <w:color w:val="000000" w:themeColor="text1"/>
                <w:szCs w:val="20"/>
              </w:rPr>
              <w:t xml:space="preserve">de la direction commune </w:t>
            </w:r>
            <w:r w:rsidRPr="000839A2">
              <w:rPr>
                <w:rFonts w:ascii="Arial" w:hAnsi="Arial" w:cs="Arial"/>
                <w:color w:val="000000" w:themeColor="text1"/>
                <w:szCs w:val="20"/>
              </w:rPr>
              <w:t xml:space="preserve">en collaboration avec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le Responsable </w:t>
            </w:r>
            <w:r w:rsidRPr="000839A2">
              <w:rPr>
                <w:rFonts w:ascii="Arial" w:hAnsi="Arial" w:cs="Arial"/>
                <w:color w:val="000000" w:themeColor="text1"/>
                <w:szCs w:val="20"/>
              </w:rPr>
              <w:t>de la Sécurité du Système d’Information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et le </w:t>
            </w:r>
            <w:r w:rsidRPr="000839A2">
              <w:rPr>
                <w:rFonts w:ascii="Arial" w:hAnsi="Arial" w:cs="Arial"/>
                <w:color w:val="000000" w:themeColor="text1"/>
                <w:szCs w:val="20"/>
              </w:rPr>
              <w:t>Délégué à la Protection des données</w:t>
            </w:r>
            <w:r w:rsidR="005B58AF">
              <w:rPr>
                <w:rFonts w:ascii="Arial" w:hAnsi="Arial" w:cs="Arial"/>
                <w:color w:val="000000" w:themeColor="text1"/>
                <w:szCs w:val="20"/>
              </w:rPr>
              <w:t xml:space="preserve"> du GHT</w:t>
            </w:r>
          </w:p>
          <w:p w:rsidR="00EA4BDE" w:rsidRDefault="00EA4BDE" w:rsidP="00EA4BDE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Formaliser et mettre en œuvre la sécurisation de l’infrastructure et du réseau des HPC</w:t>
            </w:r>
          </w:p>
          <w:p w:rsidR="00824134" w:rsidRPr="000839A2" w:rsidRDefault="00824134" w:rsidP="00C15BD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236B42" w:rsidRPr="000839A2" w:rsidRDefault="00185035" w:rsidP="00C15BDB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Modernisation de l’organisation des secrétariats médicaux</w:t>
            </w:r>
          </w:p>
          <w:p w:rsidR="00185035" w:rsidRDefault="00185035" w:rsidP="00C15BDB">
            <w:pPr>
              <w:pStyle w:val="Paragraphedeliste"/>
              <w:numPr>
                <w:ilvl w:val="1"/>
                <w:numId w:val="26"/>
              </w:numPr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Renforcer la qualité du service rendu tout </w:t>
            </w:r>
            <w:r w:rsidR="008965BC">
              <w:rPr>
                <w:rFonts w:ascii="Arial" w:hAnsi="Arial" w:cs="Arial"/>
                <w:color w:val="000000" w:themeColor="text1"/>
                <w:szCs w:val="20"/>
              </w:rPr>
              <w:t xml:space="preserve">en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maîtrisant les effectifs de secrétaires médicales :</w:t>
            </w:r>
            <w:r w:rsidRPr="005B58AF">
              <w:rPr>
                <w:rFonts w:ascii="Arial" w:hAnsi="Arial" w:cs="Arial"/>
                <w:i/>
                <w:color w:val="000000" w:themeColor="text1"/>
                <w:szCs w:val="20"/>
              </w:rPr>
              <w:t xml:space="preserve"> </w:t>
            </w:r>
            <w:r w:rsidR="005B58AF">
              <w:rPr>
                <w:rFonts w:ascii="Arial" w:hAnsi="Arial" w:cs="Arial"/>
                <w:i/>
                <w:color w:val="000000" w:themeColor="text1"/>
                <w:szCs w:val="20"/>
              </w:rPr>
              <w:t>digitalisations</w:t>
            </w:r>
            <w:r w:rsidRPr="005B58AF">
              <w:rPr>
                <w:rFonts w:ascii="Arial" w:hAnsi="Arial" w:cs="Arial"/>
                <w:i/>
                <w:color w:val="000000" w:themeColor="text1"/>
                <w:szCs w:val="20"/>
              </w:rPr>
              <w:t>, ajustements des organisations de back-office, refonte des cadres de fonctionnement</w:t>
            </w:r>
            <w:r w:rsidR="00EA4BDE" w:rsidRPr="005B58AF">
              <w:rPr>
                <w:rFonts w:ascii="Arial" w:hAnsi="Arial" w:cs="Arial"/>
                <w:i/>
                <w:color w:val="000000" w:themeColor="text1"/>
                <w:szCs w:val="20"/>
              </w:rPr>
              <w:t>, recherche de polyvalence, pools internes</w:t>
            </w:r>
            <w:r w:rsidRPr="005B58AF">
              <w:rPr>
                <w:rFonts w:ascii="Arial" w:hAnsi="Arial" w:cs="Arial"/>
                <w:i/>
                <w:color w:val="000000" w:themeColor="text1"/>
                <w:szCs w:val="20"/>
              </w:rPr>
              <w:t>…</w:t>
            </w:r>
          </w:p>
          <w:p w:rsidR="00C15BDB" w:rsidRDefault="00C15BDB" w:rsidP="00C15BDB">
            <w:pPr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C15BDB" w:rsidRPr="00C15BDB" w:rsidRDefault="00C15BDB" w:rsidP="00C15BDB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C15BDB">
              <w:rPr>
                <w:rFonts w:ascii="Arial" w:hAnsi="Arial" w:cs="Arial"/>
                <w:b/>
                <w:color w:val="000000" w:themeColor="text1"/>
                <w:szCs w:val="20"/>
              </w:rPr>
              <w:t>A</w:t>
            </w: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ccompagnement à l’évolution d</w:t>
            </w:r>
            <w:r w:rsidRPr="00C15BDB">
              <w:rPr>
                <w:rFonts w:ascii="Arial" w:hAnsi="Arial" w:cs="Arial"/>
                <w:b/>
                <w:color w:val="000000" w:themeColor="text1"/>
                <w:szCs w:val="20"/>
              </w:rPr>
              <w:t>es missions du service des archives</w:t>
            </w:r>
          </w:p>
          <w:p w:rsidR="00236B42" w:rsidRPr="00AC031C" w:rsidRDefault="00C15BDB" w:rsidP="00C15BDB">
            <w:pPr>
              <w:pStyle w:val="Paragraphedeliste"/>
              <w:numPr>
                <w:ilvl w:val="1"/>
                <w:numId w:val="26"/>
              </w:numPr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Optimiser l’occupation des locaux</w:t>
            </w:r>
            <w:r w:rsidR="005B58AF">
              <w:rPr>
                <w:rFonts w:ascii="Arial" w:hAnsi="Arial" w:cs="Arial"/>
                <w:color w:val="000000" w:themeColor="text1"/>
                <w:szCs w:val="20"/>
              </w:rPr>
              <w:t xml:space="preserve"> et ajuster l’offre de service à l’évolution des besoins : </w:t>
            </w:r>
            <w:r w:rsidR="005B58AF" w:rsidRPr="005B58AF">
              <w:rPr>
                <w:rFonts w:ascii="Arial" w:hAnsi="Arial" w:cs="Arial"/>
                <w:i/>
                <w:color w:val="000000" w:themeColor="text1"/>
                <w:szCs w:val="20"/>
              </w:rPr>
              <w:t xml:space="preserve">processus de destruction, </w:t>
            </w:r>
            <w:r w:rsidRPr="005B58AF">
              <w:rPr>
                <w:rFonts w:ascii="Arial" w:hAnsi="Arial" w:cs="Arial"/>
                <w:i/>
                <w:color w:val="000000" w:themeColor="text1"/>
                <w:szCs w:val="20"/>
              </w:rPr>
              <w:t>numérisation transactionnelle en lien av</w:t>
            </w:r>
            <w:r w:rsidR="005B58AF" w:rsidRPr="005B58AF">
              <w:rPr>
                <w:rFonts w:ascii="Arial" w:hAnsi="Arial" w:cs="Arial"/>
                <w:i/>
                <w:color w:val="000000" w:themeColor="text1"/>
                <w:szCs w:val="20"/>
              </w:rPr>
              <w:t>ec les archives départementales…</w:t>
            </w:r>
          </w:p>
          <w:p w:rsidR="00E74955" w:rsidRPr="000839A2" w:rsidRDefault="00E74955" w:rsidP="000839A2">
            <w:pPr>
              <w:rPr>
                <w:rFonts w:ascii="Arial" w:eastAsia="S" w:hAnsi="Arial" w:cs="Arial"/>
                <w:color w:val="000000" w:themeColor="text1"/>
              </w:rPr>
            </w:pPr>
          </w:p>
          <w:p w:rsidR="00AC031C" w:rsidRDefault="00EA4BDE" w:rsidP="00B11762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Le poste intègre l’</w:t>
            </w:r>
            <w:r w:rsidR="007660A3">
              <w:rPr>
                <w:rFonts w:ascii="Arial" w:hAnsi="Arial" w:cs="Arial"/>
                <w:b/>
                <w:color w:val="000000" w:themeColor="text1"/>
              </w:rPr>
              <w:t>en</w:t>
            </w:r>
            <w:r w:rsidR="007660A3" w:rsidRPr="000839A2">
              <w:rPr>
                <w:rFonts w:ascii="Arial" w:hAnsi="Arial" w:cs="Arial"/>
                <w:b/>
                <w:color w:val="000000" w:themeColor="text1"/>
              </w:rPr>
              <w:t>cadrement</w:t>
            </w:r>
            <w:r w:rsidR="00601E86" w:rsidRPr="000839A2">
              <w:rPr>
                <w:rFonts w:ascii="Arial" w:hAnsi="Arial" w:cs="Arial"/>
                <w:b/>
                <w:color w:val="000000" w:themeColor="text1"/>
              </w:rPr>
              <w:t xml:space="preserve"> d’une équipe </w:t>
            </w:r>
            <w:r w:rsidR="00AC031C">
              <w:rPr>
                <w:rFonts w:ascii="Arial" w:hAnsi="Arial" w:cs="Arial"/>
                <w:b/>
                <w:color w:val="000000" w:themeColor="text1"/>
              </w:rPr>
              <w:t>plurielle</w:t>
            </w:r>
          </w:p>
          <w:p w:rsidR="00601E86" w:rsidRPr="00185035" w:rsidRDefault="00AC031C" w:rsidP="00AC031C">
            <w:pPr>
              <w:pStyle w:val="Paragraphedeliste"/>
              <w:numPr>
                <w:ilvl w:val="0"/>
                <w:numId w:val="31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185035">
              <w:rPr>
                <w:rFonts w:ascii="Arial" w:hAnsi="Arial" w:cs="Arial"/>
                <w:color w:val="000000" w:themeColor="text1"/>
              </w:rPr>
              <w:t xml:space="preserve">SIH : 10 agents au CH d’Arles </w:t>
            </w:r>
            <w:r w:rsidR="00C15BDB">
              <w:rPr>
                <w:rFonts w:ascii="Arial" w:hAnsi="Arial" w:cs="Arial"/>
                <w:color w:val="000000" w:themeColor="text1"/>
              </w:rPr>
              <w:t>(1</w:t>
            </w:r>
            <w:r w:rsidRPr="00185035">
              <w:rPr>
                <w:rFonts w:ascii="Arial" w:hAnsi="Arial" w:cs="Arial"/>
                <w:color w:val="000000" w:themeColor="text1"/>
              </w:rPr>
              <w:t xml:space="preserve"> ingénieur RSI</w:t>
            </w:r>
            <w:r w:rsidR="00C15BDB">
              <w:rPr>
                <w:rFonts w:ascii="Arial" w:hAnsi="Arial" w:cs="Arial"/>
                <w:color w:val="000000" w:themeColor="text1"/>
              </w:rPr>
              <w:t>, 1 OPQ à la hotline et 8 T</w:t>
            </w:r>
            <w:r w:rsidR="005B58AF">
              <w:rPr>
                <w:rFonts w:ascii="Arial" w:hAnsi="Arial" w:cs="Arial"/>
                <w:color w:val="000000" w:themeColor="text1"/>
              </w:rPr>
              <w:t>echniciens</w:t>
            </w:r>
            <w:r w:rsidR="00C15BDB">
              <w:rPr>
                <w:rFonts w:ascii="Arial" w:hAnsi="Arial" w:cs="Arial"/>
                <w:color w:val="000000" w:themeColor="text1"/>
              </w:rPr>
              <w:t>)</w:t>
            </w:r>
            <w:r w:rsidRPr="00185035">
              <w:rPr>
                <w:rFonts w:ascii="Arial" w:hAnsi="Arial" w:cs="Arial"/>
                <w:color w:val="000000" w:themeColor="text1"/>
              </w:rPr>
              <w:t xml:space="preserve"> / 2 </w:t>
            </w:r>
            <w:r w:rsidR="005B58AF">
              <w:rPr>
                <w:rFonts w:ascii="Arial" w:hAnsi="Arial" w:cs="Arial"/>
                <w:color w:val="000000" w:themeColor="text1"/>
              </w:rPr>
              <w:t>T</w:t>
            </w:r>
            <w:r w:rsidR="00C15BDB">
              <w:rPr>
                <w:rFonts w:ascii="Arial" w:hAnsi="Arial" w:cs="Arial"/>
                <w:color w:val="000000" w:themeColor="text1"/>
              </w:rPr>
              <w:t>echniciens</w:t>
            </w:r>
            <w:r w:rsidRPr="00185035">
              <w:rPr>
                <w:rFonts w:ascii="Arial" w:hAnsi="Arial" w:cs="Arial"/>
                <w:color w:val="000000" w:themeColor="text1"/>
              </w:rPr>
              <w:t xml:space="preserve"> sur les HPC </w:t>
            </w:r>
          </w:p>
          <w:p w:rsidR="00AC031C" w:rsidRPr="00185035" w:rsidRDefault="00AC031C" w:rsidP="00AC031C">
            <w:pPr>
              <w:pStyle w:val="Paragraphedeliste"/>
              <w:numPr>
                <w:ilvl w:val="0"/>
                <w:numId w:val="31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185035">
              <w:rPr>
                <w:rFonts w:ascii="Arial" w:hAnsi="Arial" w:cs="Arial"/>
                <w:color w:val="000000" w:themeColor="text1"/>
              </w:rPr>
              <w:t xml:space="preserve">Archives : </w:t>
            </w:r>
            <w:r w:rsidR="00185035" w:rsidRPr="00185035">
              <w:rPr>
                <w:rFonts w:ascii="Arial" w:hAnsi="Arial" w:cs="Arial"/>
                <w:color w:val="000000" w:themeColor="text1"/>
              </w:rPr>
              <w:t>4 agents sur Arles comprenant un cadre de santé / 1 agent sur les HPC</w:t>
            </w:r>
          </w:p>
          <w:p w:rsidR="00185035" w:rsidRPr="00185035" w:rsidRDefault="00185035" w:rsidP="00AC031C">
            <w:pPr>
              <w:pStyle w:val="Paragraphedeliste"/>
              <w:numPr>
                <w:ilvl w:val="0"/>
                <w:numId w:val="31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185035">
              <w:rPr>
                <w:rFonts w:ascii="Arial" w:hAnsi="Arial" w:cs="Arial"/>
                <w:color w:val="000000" w:themeColor="text1"/>
              </w:rPr>
              <w:t>Secrétariats médicaux : 60 agents sur Arles comprenant une coordonnatrice / 6 agents sur les HPC</w:t>
            </w:r>
          </w:p>
          <w:p w:rsidR="0056539D" w:rsidRDefault="0056539D" w:rsidP="00CA38C8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  <w:p w:rsidR="002B60F9" w:rsidRPr="000839A2" w:rsidRDefault="00185035" w:rsidP="005B58AF">
            <w:pPr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5B58AF">
              <w:rPr>
                <w:rFonts w:ascii="Arial" w:hAnsi="Arial" w:cs="Arial"/>
                <w:color w:val="FF0000"/>
              </w:rPr>
              <w:t xml:space="preserve">Directeur référent du pôle </w:t>
            </w:r>
            <w:r w:rsidR="005B58AF" w:rsidRPr="005B58AF">
              <w:rPr>
                <w:rFonts w:ascii="Arial" w:hAnsi="Arial" w:cs="Arial"/>
                <w:color w:val="FF0000"/>
              </w:rPr>
              <w:t>Femme, Mère, Enfant</w:t>
            </w:r>
          </w:p>
        </w:tc>
      </w:tr>
      <w:tr w:rsidR="000917BA" w:rsidRPr="000917BA" w:rsidTr="00FF4E6D">
        <w:tc>
          <w:tcPr>
            <w:tcW w:w="10480" w:type="dxa"/>
            <w:tcBorders>
              <w:left w:val="nil"/>
              <w:right w:val="nil"/>
            </w:tcBorders>
            <w:shd w:val="clear" w:color="auto" w:fill="auto"/>
          </w:tcPr>
          <w:p w:rsidR="00F61D09" w:rsidRPr="000839A2" w:rsidRDefault="00D0308A" w:rsidP="006304E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39A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Profil souhaité du candidat</w:t>
            </w:r>
          </w:p>
        </w:tc>
      </w:tr>
      <w:tr w:rsidR="000917BA" w:rsidRPr="000917BA" w:rsidTr="00FF4E6D">
        <w:tc>
          <w:tcPr>
            <w:tcW w:w="10480" w:type="dxa"/>
            <w:tcBorders>
              <w:bottom w:val="single" w:sz="4" w:space="0" w:color="auto"/>
            </w:tcBorders>
            <w:shd w:val="clear" w:color="auto" w:fill="auto"/>
          </w:tcPr>
          <w:p w:rsidR="00F61D09" w:rsidRPr="000839A2" w:rsidRDefault="00F61D09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75650B" w:rsidRPr="000839A2" w:rsidRDefault="00D0308A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0839A2">
              <w:rPr>
                <w:rFonts w:ascii="Arial" w:hAnsi="Arial" w:cs="Arial"/>
                <w:b/>
                <w:color w:val="000000" w:themeColor="text1"/>
                <w:sz w:val="22"/>
              </w:rPr>
              <w:t>Expérience professionnelle appréciée</w:t>
            </w:r>
            <w:r w:rsidR="0075650B" w:rsidRPr="000839A2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:</w:t>
            </w:r>
          </w:p>
          <w:p w:rsidR="004A181C" w:rsidRPr="000839A2" w:rsidRDefault="004A181C" w:rsidP="004A18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0839A2">
              <w:rPr>
                <w:rFonts w:ascii="Arial" w:hAnsi="Arial" w:cs="Arial"/>
                <w:color w:val="000000" w:themeColor="text1"/>
                <w:szCs w:val="20"/>
              </w:rPr>
              <w:t>Directeur d’hôpital ayant une expérience en management et une</w:t>
            </w:r>
            <w:r w:rsidR="00185035">
              <w:rPr>
                <w:rFonts w:ascii="Arial" w:hAnsi="Arial" w:cs="Arial"/>
                <w:color w:val="000000" w:themeColor="text1"/>
                <w:szCs w:val="20"/>
              </w:rPr>
              <w:t xml:space="preserve"> solide</w:t>
            </w:r>
            <w:r w:rsidRPr="000839A2">
              <w:rPr>
                <w:rFonts w:ascii="Arial" w:hAnsi="Arial" w:cs="Arial"/>
                <w:color w:val="000000" w:themeColor="text1"/>
                <w:szCs w:val="20"/>
              </w:rPr>
              <w:t xml:space="preserve"> connaissance des systèmes d’information</w:t>
            </w:r>
            <w:r w:rsidR="00A706C9" w:rsidRPr="000839A2">
              <w:rPr>
                <w:rFonts w:ascii="Arial" w:hAnsi="Arial" w:cs="Arial"/>
                <w:color w:val="000000" w:themeColor="text1"/>
                <w:szCs w:val="20"/>
              </w:rPr>
              <w:t xml:space="preserve"> hospitalier</w:t>
            </w:r>
            <w:r w:rsidRPr="000839A2">
              <w:rPr>
                <w:rFonts w:ascii="Arial" w:hAnsi="Arial" w:cs="Arial"/>
                <w:color w:val="000000" w:themeColor="text1"/>
                <w:szCs w:val="20"/>
              </w:rPr>
              <w:t>.</w:t>
            </w:r>
          </w:p>
          <w:p w:rsidR="004A181C" w:rsidRPr="000839A2" w:rsidRDefault="004A181C" w:rsidP="004A18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B304F6" w:rsidRDefault="00D0084E" w:rsidP="00B304F6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0839A2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Connaissances </w:t>
            </w:r>
            <w:r w:rsidR="0075650B" w:rsidRPr="000839A2">
              <w:rPr>
                <w:rFonts w:ascii="Arial" w:hAnsi="Arial" w:cs="Arial"/>
                <w:b/>
                <w:color w:val="000000" w:themeColor="text1"/>
                <w:sz w:val="22"/>
              </w:rPr>
              <w:t>particulières requises / prévues :</w:t>
            </w:r>
          </w:p>
          <w:p w:rsidR="00C15BDB" w:rsidRPr="00C15BDB" w:rsidRDefault="00C15BDB" w:rsidP="00C15BDB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C15BDB">
              <w:rPr>
                <w:rFonts w:ascii="Arial" w:hAnsi="Arial" w:cs="Arial"/>
                <w:color w:val="000000" w:themeColor="text1"/>
              </w:rPr>
              <w:t>Connaissance des systèmes d’information hospitalier</w:t>
            </w:r>
          </w:p>
          <w:p w:rsidR="00C15BDB" w:rsidRPr="00C15BDB" w:rsidRDefault="00C15BDB" w:rsidP="00C15BDB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C15BDB">
              <w:rPr>
                <w:rFonts w:ascii="Arial" w:hAnsi="Arial" w:cs="Arial"/>
                <w:color w:val="000000" w:themeColor="text1"/>
              </w:rPr>
              <w:t>Connaissance et pratique de terrain des techniques de conduite de changement et de gestion de projets</w:t>
            </w:r>
          </w:p>
          <w:p w:rsidR="00C15BDB" w:rsidRPr="00C15BDB" w:rsidRDefault="00C15BDB" w:rsidP="00C15BDB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C15BDB">
              <w:rPr>
                <w:rFonts w:ascii="Arial" w:hAnsi="Arial" w:cs="Arial"/>
                <w:color w:val="000000" w:themeColor="text1"/>
              </w:rPr>
              <w:t xml:space="preserve">Connaissance et maîtrise des organisations hospitalières </w:t>
            </w:r>
          </w:p>
          <w:p w:rsidR="00C15BDB" w:rsidRPr="00C15BDB" w:rsidRDefault="00C15BDB" w:rsidP="00C15BDB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C15BDB">
              <w:rPr>
                <w:rFonts w:ascii="Arial" w:hAnsi="Arial" w:cs="Arial"/>
                <w:color w:val="000000" w:themeColor="text1"/>
              </w:rPr>
              <w:t xml:space="preserve">Connaissance et intelligence du fonctionnement </w:t>
            </w:r>
            <w:r w:rsidR="001F1568" w:rsidRPr="00C15BDB">
              <w:rPr>
                <w:rFonts w:ascii="Arial" w:hAnsi="Arial" w:cs="Arial"/>
                <w:color w:val="000000" w:themeColor="text1"/>
              </w:rPr>
              <w:t>des instances</w:t>
            </w:r>
          </w:p>
          <w:p w:rsidR="0075650B" w:rsidRDefault="0075650B" w:rsidP="00C15BDB">
            <w:pPr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C15BDB" w:rsidRDefault="00C15BDB" w:rsidP="00C15BDB">
            <w:pPr>
              <w:jc w:val="both"/>
            </w:pPr>
            <w:r w:rsidRPr="00C15BDB">
              <w:rPr>
                <w:rFonts w:ascii="Arial" w:hAnsi="Arial" w:cs="Arial"/>
                <w:b/>
                <w:color w:val="000000" w:themeColor="text1"/>
                <w:sz w:val="22"/>
              </w:rPr>
              <w:t>Qualités professionnelles requises / prévues :</w:t>
            </w:r>
            <w:r>
              <w:t xml:space="preserve"> </w:t>
            </w:r>
          </w:p>
          <w:p w:rsidR="00C15BDB" w:rsidRPr="00C15BDB" w:rsidRDefault="00C15BDB" w:rsidP="00C15BDB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C15BDB">
              <w:rPr>
                <w:rFonts w:ascii="Arial" w:hAnsi="Arial" w:cs="Arial"/>
                <w:color w:val="000000" w:themeColor="text1"/>
              </w:rPr>
              <w:t>Capacité à travailler en équipe : équipes de direction, médicales et soignantes, administratives et techniques</w:t>
            </w:r>
          </w:p>
          <w:p w:rsidR="001F1568" w:rsidRPr="00C15BDB" w:rsidRDefault="001F1568" w:rsidP="001F1568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C15BDB">
              <w:rPr>
                <w:rFonts w:ascii="Arial" w:hAnsi="Arial" w:cs="Arial"/>
                <w:color w:val="000000" w:themeColor="text1"/>
              </w:rPr>
              <w:t xml:space="preserve">Capacités d’anticipation et de veille permettant au CH de disposer des outils numériques médico-administratifs les plus modernes, et d’être force de proposition auprès du Directeur </w:t>
            </w:r>
          </w:p>
          <w:p w:rsidR="00C15BDB" w:rsidRDefault="00F85678" w:rsidP="00C15BDB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Sens du dialogue</w:t>
            </w:r>
          </w:p>
          <w:p w:rsidR="00C15BDB" w:rsidRDefault="00C15BDB" w:rsidP="00C15BDB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C15BDB">
              <w:rPr>
                <w:rFonts w:ascii="Arial" w:hAnsi="Arial" w:cs="Arial"/>
                <w:color w:val="000000" w:themeColor="text1"/>
              </w:rPr>
              <w:t>Capacité d’arbi</w:t>
            </w:r>
            <w:r w:rsidR="00F85678">
              <w:rPr>
                <w:rFonts w:ascii="Arial" w:hAnsi="Arial" w:cs="Arial"/>
                <w:color w:val="000000" w:themeColor="text1"/>
              </w:rPr>
              <w:t>trage et de prise de décision</w:t>
            </w:r>
          </w:p>
          <w:p w:rsidR="00C15BDB" w:rsidRDefault="00C15BDB" w:rsidP="00C15BDB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C15BDB">
              <w:rPr>
                <w:rFonts w:ascii="Arial" w:hAnsi="Arial" w:cs="Arial"/>
                <w:color w:val="000000" w:themeColor="text1"/>
              </w:rPr>
              <w:t>Rigueur et</w:t>
            </w:r>
            <w:r>
              <w:rPr>
                <w:rFonts w:ascii="Arial" w:hAnsi="Arial" w:cs="Arial"/>
                <w:color w:val="000000" w:themeColor="text1"/>
              </w:rPr>
              <w:t xml:space="preserve"> discrétion professionnelles</w:t>
            </w:r>
          </w:p>
          <w:p w:rsidR="00C15BDB" w:rsidRDefault="00C15BDB" w:rsidP="00C15BDB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C15BDB">
              <w:rPr>
                <w:rFonts w:ascii="Arial" w:hAnsi="Arial" w:cs="Arial"/>
                <w:color w:val="000000" w:themeColor="text1"/>
              </w:rPr>
              <w:t>Loyaut</w:t>
            </w:r>
            <w:r w:rsidR="00F85678">
              <w:rPr>
                <w:rFonts w:ascii="Arial" w:hAnsi="Arial" w:cs="Arial"/>
                <w:color w:val="000000" w:themeColor="text1"/>
              </w:rPr>
              <w:t>é et honnêteté intellectuelle</w:t>
            </w:r>
          </w:p>
          <w:p w:rsidR="00C15BDB" w:rsidRDefault="00C15BDB" w:rsidP="00C15BDB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C15BDB">
              <w:rPr>
                <w:rFonts w:ascii="Arial" w:hAnsi="Arial" w:cs="Arial"/>
                <w:color w:val="000000" w:themeColor="text1"/>
              </w:rPr>
              <w:t>Capacité de synthèse et sens de l</w:t>
            </w:r>
            <w:r>
              <w:rPr>
                <w:rFonts w:ascii="Arial" w:hAnsi="Arial" w:cs="Arial"/>
                <w:color w:val="000000" w:themeColor="text1"/>
              </w:rPr>
              <w:t>a communication</w:t>
            </w:r>
          </w:p>
          <w:p w:rsidR="00C15BDB" w:rsidRPr="00C15BDB" w:rsidRDefault="00C15BDB" w:rsidP="00C15BDB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C15BDB">
              <w:rPr>
                <w:rFonts w:ascii="Arial" w:hAnsi="Arial" w:cs="Arial"/>
                <w:color w:val="000000" w:themeColor="text1"/>
              </w:rPr>
              <w:t>Ténacité dans le suivi, le respect des délais et des engagement</w:t>
            </w:r>
            <w:r w:rsidR="001F1568">
              <w:rPr>
                <w:rFonts w:ascii="Arial" w:hAnsi="Arial" w:cs="Arial"/>
                <w:color w:val="000000" w:themeColor="text1"/>
              </w:rPr>
              <w:t>s</w:t>
            </w:r>
          </w:p>
          <w:p w:rsidR="00C15BDB" w:rsidRPr="000839A2" w:rsidRDefault="00C15BDB" w:rsidP="00C15BDB">
            <w:pPr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917BA" w:rsidRPr="000917BA" w:rsidTr="00FF4E6D">
        <w:tc>
          <w:tcPr>
            <w:tcW w:w="10480" w:type="dxa"/>
            <w:shd w:val="clear" w:color="auto" w:fill="auto"/>
            <w:vAlign w:val="center"/>
          </w:tcPr>
          <w:p w:rsidR="00F61D09" w:rsidRPr="000839A2" w:rsidRDefault="0075650B" w:rsidP="006304E8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39A2">
              <w:rPr>
                <w:rFonts w:ascii="Arial" w:hAnsi="Arial" w:cs="Arial"/>
                <w:color w:val="000000" w:themeColor="text1"/>
                <w:sz w:val="24"/>
                <w:szCs w:val="24"/>
              </w:rPr>
              <w:t>Autres</w:t>
            </w:r>
            <w:r w:rsidR="00D0308A" w:rsidRPr="000839A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informations</w:t>
            </w:r>
          </w:p>
        </w:tc>
      </w:tr>
      <w:tr w:rsidR="00F61D09" w:rsidRPr="000917BA" w:rsidTr="00FF4E6D">
        <w:tc>
          <w:tcPr>
            <w:tcW w:w="10480" w:type="dxa"/>
            <w:shd w:val="clear" w:color="auto" w:fill="auto"/>
          </w:tcPr>
          <w:p w:rsidR="00F61D09" w:rsidRPr="000839A2" w:rsidRDefault="0075650B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0839A2">
              <w:rPr>
                <w:rFonts w:ascii="Arial" w:hAnsi="Arial" w:cs="Arial"/>
                <w:b/>
                <w:color w:val="000000" w:themeColor="text1"/>
                <w:sz w:val="22"/>
              </w:rPr>
              <w:t>Contraintes et avantages liés au poste :</w:t>
            </w:r>
          </w:p>
          <w:p w:rsidR="00B9125D" w:rsidRPr="000839A2" w:rsidRDefault="00B9125D" w:rsidP="00C645C8">
            <w:pPr>
              <w:numPr>
                <w:ilvl w:val="0"/>
                <w:numId w:val="22"/>
              </w:numPr>
              <w:tabs>
                <w:tab w:val="clear" w:pos="1065"/>
              </w:tabs>
              <w:ind w:left="454"/>
              <w:jc w:val="both"/>
              <w:rPr>
                <w:rFonts w:ascii="Arial" w:hAnsi="Arial" w:cs="Arial"/>
                <w:color w:val="000000" w:themeColor="text1"/>
              </w:rPr>
            </w:pPr>
            <w:r w:rsidRPr="000839A2">
              <w:rPr>
                <w:rFonts w:ascii="Arial" w:hAnsi="Arial" w:cs="Arial"/>
                <w:color w:val="000000" w:themeColor="text1"/>
              </w:rPr>
              <w:t>Astreintes administratives</w:t>
            </w:r>
            <w:r w:rsidR="00A706C9" w:rsidRPr="000839A2">
              <w:rPr>
                <w:rFonts w:ascii="Arial" w:hAnsi="Arial" w:cs="Arial"/>
                <w:color w:val="000000" w:themeColor="text1"/>
              </w:rPr>
              <w:t xml:space="preserve"> de Direction</w:t>
            </w:r>
            <w:r w:rsidRPr="000839A2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75650B" w:rsidRDefault="001F1568" w:rsidP="00C645C8">
            <w:pPr>
              <w:numPr>
                <w:ilvl w:val="0"/>
                <w:numId w:val="22"/>
              </w:numPr>
              <w:tabs>
                <w:tab w:val="clear" w:pos="1065"/>
              </w:tabs>
              <w:ind w:left="454"/>
              <w:jc w:val="both"/>
              <w:rPr>
                <w:rFonts w:ascii="Arial" w:hAnsi="Arial" w:cs="Arial"/>
                <w:color w:val="000000" w:themeColor="text1"/>
              </w:rPr>
            </w:pPr>
            <w:r w:rsidRPr="000839A2">
              <w:rPr>
                <w:rFonts w:ascii="Arial" w:hAnsi="Arial" w:cs="Arial"/>
                <w:color w:val="000000" w:themeColor="text1"/>
              </w:rPr>
              <w:t>Indemnité</w:t>
            </w:r>
            <w:r w:rsidR="00A706C9" w:rsidRPr="000839A2">
              <w:rPr>
                <w:rFonts w:ascii="Arial" w:hAnsi="Arial" w:cs="Arial"/>
                <w:color w:val="000000" w:themeColor="text1"/>
              </w:rPr>
              <w:t xml:space="preserve"> compensatrice de logement</w:t>
            </w:r>
          </w:p>
          <w:p w:rsidR="001F1568" w:rsidRDefault="001F1568" w:rsidP="00C645C8">
            <w:pPr>
              <w:numPr>
                <w:ilvl w:val="0"/>
                <w:numId w:val="22"/>
              </w:numPr>
              <w:tabs>
                <w:tab w:val="clear" w:pos="1065"/>
              </w:tabs>
              <w:ind w:left="454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Intervention sur le site de Tarascon </w:t>
            </w:r>
            <w:r w:rsidR="008965BC">
              <w:rPr>
                <w:rFonts w:ascii="Arial" w:hAnsi="Arial" w:cs="Arial"/>
                <w:color w:val="000000" w:themeColor="text1"/>
              </w:rPr>
              <w:t xml:space="preserve">au moins 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</w:rPr>
              <w:t>deux demi-journées par semaine (21 km / 19’ de trajet)</w:t>
            </w:r>
          </w:p>
          <w:p w:rsidR="00C15BDB" w:rsidRPr="001F1568" w:rsidRDefault="00C15BDB" w:rsidP="001F15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C15BDB" w:rsidRPr="001F1568" w:rsidRDefault="00C15BDB" w:rsidP="005B58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1F1568">
              <w:rPr>
                <w:rFonts w:ascii="Arial" w:hAnsi="Arial" w:cs="Arial"/>
                <w:color w:val="000000" w:themeColor="text1"/>
                <w:szCs w:val="20"/>
              </w:rPr>
              <w:t>Ce poste nécessite une capacité de travail importante, une grande disponibilité personnelle et intellectuelle, ainsi qu’une implication professionnelle sans faille, au regard des missions confiées et du caractère s</w:t>
            </w:r>
            <w:r w:rsidR="001F1568">
              <w:rPr>
                <w:rFonts w:ascii="Arial" w:hAnsi="Arial" w:cs="Arial"/>
                <w:color w:val="000000" w:themeColor="text1"/>
                <w:szCs w:val="20"/>
              </w:rPr>
              <w:t xml:space="preserve">tratégique </w:t>
            </w:r>
            <w:r w:rsidRPr="001F1568">
              <w:rPr>
                <w:rFonts w:ascii="Arial" w:hAnsi="Arial" w:cs="Arial"/>
                <w:color w:val="000000" w:themeColor="text1"/>
                <w:szCs w:val="20"/>
              </w:rPr>
              <w:t>du domaine</w:t>
            </w:r>
          </w:p>
          <w:p w:rsidR="00C15BDB" w:rsidRPr="001F1568" w:rsidRDefault="00C15BDB" w:rsidP="005B58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C15BDB" w:rsidRPr="000839A2" w:rsidRDefault="001F1568" w:rsidP="005B58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Le Pays d’Arles </w:t>
            </w:r>
            <w:r w:rsidR="00C15BDB" w:rsidRPr="001F1568">
              <w:rPr>
                <w:rFonts w:ascii="Arial" w:hAnsi="Arial" w:cs="Arial"/>
                <w:color w:val="000000" w:themeColor="text1"/>
                <w:szCs w:val="20"/>
              </w:rPr>
              <w:t>et ses alentours disposent de nombreux atouts en matière culturelle, artistique, touristique et universitaire.</w:t>
            </w:r>
          </w:p>
        </w:tc>
      </w:tr>
    </w:tbl>
    <w:p w:rsidR="00505222" w:rsidRPr="000839A2" w:rsidRDefault="00505222" w:rsidP="004A181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Cs w:val="20"/>
        </w:rPr>
      </w:pPr>
    </w:p>
    <w:sectPr w:rsidR="00505222" w:rsidRPr="000839A2" w:rsidSect="00B26BFD">
      <w:headerReference w:type="default" r:id="rId8"/>
      <w:footerReference w:type="default" r:id="rId9"/>
      <w:pgSz w:w="11906" w:h="16838"/>
      <w:pgMar w:top="851" w:right="707" w:bottom="709" w:left="709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DA8" w:rsidRDefault="00AE1DA8">
      <w:r>
        <w:separator/>
      </w:r>
    </w:p>
  </w:endnote>
  <w:endnote w:type="continuationSeparator" w:id="0">
    <w:p w:rsidR="00AE1DA8" w:rsidRDefault="00A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36" w:rsidRDefault="0064308E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8965BC">
      <w:rPr>
        <w:noProof/>
      </w:rPr>
      <w:t>3</w:t>
    </w:r>
    <w:r>
      <w:rPr>
        <w:noProof/>
      </w:rPr>
      <w:fldChar w:fldCharType="end"/>
    </w:r>
  </w:p>
  <w:p w:rsidR="00054236" w:rsidRDefault="000542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DA8" w:rsidRDefault="00AE1DA8">
      <w:r>
        <w:separator/>
      </w:r>
    </w:p>
  </w:footnote>
  <w:footnote w:type="continuationSeparator" w:id="0">
    <w:p w:rsidR="00AE1DA8" w:rsidRDefault="00A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F6" w:rsidRPr="00F61D09" w:rsidRDefault="00B304F6">
    <w:pPr>
      <w:pStyle w:val="En-tte"/>
      <w:rPr>
        <w:color w:val="333333"/>
        <w:sz w:val="16"/>
        <w:szCs w:val="16"/>
      </w:rPr>
    </w:pPr>
    <w:r w:rsidRPr="00F61D09">
      <w:rPr>
        <w:color w:val="333333"/>
        <w:sz w:val="16"/>
        <w:szCs w:val="16"/>
      </w:rPr>
      <w:t>CNG-DGD</w:t>
    </w:r>
    <w:r>
      <w:rPr>
        <w:color w:val="333333"/>
        <w:sz w:val="16"/>
        <w:szCs w:val="16"/>
      </w:rPr>
      <w:tab/>
    </w:r>
    <w:r>
      <w:rPr>
        <w:color w:val="333333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440"/>
    <w:multiLevelType w:val="hybridMultilevel"/>
    <w:tmpl w:val="68E0D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3981"/>
    <w:multiLevelType w:val="hybridMultilevel"/>
    <w:tmpl w:val="810AF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764D"/>
    <w:multiLevelType w:val="hybridMultilevel"/>
    <w:tmpl w:val="98E2B61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09C02A35"/>
    <w:multiLevelType w:val="hybridMultilevel"/>
    <w:tmpl w:val="D72E8256"/>
    <w:lvl w:ilvl="0" w:tplc="93F8221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DIN-Regular" w:eastAsia="Times New Roman" w:hAnsi="DIN-Regular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D285A49"/>
    <w:multiLevelType w:val="hybridMultilevel"/>
    <w:tmpl w:val="B6D6E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B55A9"/>
    <w:multiLevelType w:val="hybridMultilevel"/>
    <w:tmpl w:val="E23CD208"/>
    <w:lvl w:ilvl="0" w:tplc="5CA8F9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D6179"/>
    <w:multiLevelType w:val="hybridMultilevel"/>
    <w:tmpl w:val="5CE889E4"/>
    <w:lvl w:ilvl="0" w:tplc="93F82216">
      <w:start w:val="2"/>
      <w:numFmt w:val="bullet"/>
      <w:lvlText w:val="-"/>
      <w:lvlJc w:val="left"/>
      <w:pPr>
        <w:ind w:left="1647" w:hanging="360"/>
      </w:pPr>
      <w:rPr>
        <w:rFonts w:ascii="DIN-Regular" w:eastAsia="Times New Roman" w:hAnsi="DIN-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11E80"/>
    <w:multiLevelType w:val="hybridMultilevel"/>
    <w:tmpl w:val="71DCA5CE"/>
    <w:lvl w:ilvl="0" w:tplc="93F8221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DIN-Regular" w:eastAsia="Times New Roman" w:hAnsi="DIN-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47F74"/>
    <w:multiLevelType w:val="hybridMultilevel"/>
    <w:tmpl w:val="AF9A337A"/>
    <w:lvl w:ilvl="0" w:tplc="657005CC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MS Mincho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9114C2D"/>
    <w:multiLevelType w:val="hybridMultilevel"/>
    <w:tmpl w:val="4148E47A"/>
    <w:lvl w:ilvl="0" w:tplc="95D0E5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B06F7"/>
    <w:multiLevelType w:val="hybridMultilevel"/>
    <w:tmpl w:val="C7FCA50E"/>
    <w:lvl w:ilvl="0" w:tplc="93F82216">
      <w:start w:val="2"/>
      <w:numFmt w:val="bullet"/>
      <w:lvlText w:val="-"/>
      <w:lvlJc w:val="left"/>
      <w:pPr>
        <w:ind w:left="1647" w:hanging="360"/>
      </w:pPr>
      <w:rPr>
        <w:rFonts w:ascii="DIN-Regular" w:eastAsia="Times New Roman" w:hAnsi="DIN-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B40BA"/>
    <w:multiLevelType w:val="hybridMultilevel"/>
    <w:tmpl w:val="D50474A4"/>
    <w:lvl w:ilvl="0" w:tplc="93F82216">
      <w:start w:val="2"/>
      <w:numFmt w:val="bullet"/>
      <w:lvlText w:val="-"/>
      <w:lvlJc w:val="left"/>
      <w:pPr>
        <w:ind w:left="1800" w:hanging="360"/>
      </w:pPr>
      <w:rPr>
        <w:rFonts w:ascii="DIN-Regular" w:eastAsia="Times New Roman" w:hAnsi="DIN-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4776AD"/>
    <w:multiLevelType w:val="hybridMultilevel"/>
    <w:tmpl w:val="248C690C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3" w15:restartNumberingAfterBreak="0">
    <w:nsid w:val="354D12E2"/>
    <w:multiLevelType w:val="hybridMultilevel"/>
    <w:tmpl w:val="43D00738"/>
    <w:lvl w:ilvl="0" w:tplc="93F8221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DIN-Regular" w:eastAsia="Times New Roman" w:hAnsi="DIN-Regular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7DF184E"/>
    <w:multiLevelType w:val="hybridMultilevel"/>
    <w:tmpl w:val="24DC5F0E"/>
    <w:lvl w:ilvl="0" w:tplc="93F82216">
      <w:start w:val="2"/>
      <w:numFmt w:val="bullet"/>
      <w:lvlText w:val="-"/>
      <w:lvlJc w:val="left"/>
      <w:pPr>
        <w:ind w:left="1647" w:hanging="360"/>
      </w:pPr>
      <w:rPr>
        <w:rFonts w:ascii="DIN-Regular" w:eastAsia="Times New Roman" w:hAnsi="DIN-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383A50A3"/>
    <w:multiLevelType w:val="hybridMultilevel"/>
    <w:tmpl w:val="7CB4681C"/>
    <w:lvl w:ilvl="0" w:tplc="F2C07A8A">
      <w:start w:val="1"/>
      <w:numFmt w:val="bullet"/>
      <w:lvlText w:val="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20CD2"/>
    <w:multiLevelType w:val="hybridMultilevel"/>
    <w:tmpl w:val="F1BAF00C"/>
    <w:lvl w:ilvl="0" w:tplc="8FFC41F8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F24D26"/>
    <w:multiLevelType w:val="hybridMultilevel"/>
    <w:tmpl w:val="039AA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A6747"/>
    <w:multiLevelType w:val="multilevel"/>
    <w:tmpl w:val="ABEC25B0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A788C"/>
    <w:multiLevelType w:val="hybridMultilevel"/>
    <w:tmpl w:val="EFD6698A"/>
    <w:lvl w:ilvl="0" w:tplc="9962A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IN-Regular" w:eastAsia="Times New Roman" w:hAnsi="DIN-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62C39"/>
    <w:multiLevelType w:val="multilevel"/>
    <w:tmpl w:val="AF9A337A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B676A16"/>
    <w:multiLevelType w:val="hybridMultilevel"/>
    <w:tmpl w:val="8DFEBB0A"/>
    <w:lvl w:ilvl="0" w:tplc="BB6E1F34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86044F"/>
    <w:multiLevelType w:val="hybridMultilevel"/>
    <w:tmpl w:val="04B2A43E"/>
    <w:lvl w:ilvl="0" w:tplc="A8D2EDE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  <w:i w:val="0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DFC73ED"/>
    <w:multiLevelType w:val="hybridMultilevel"/>
    <w:tmpl w:val="1D34B9EA"/>
    <w:lvl w:ilvl="0" w:tplc="A8D2EDE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1D472B1"/>
    <w:multiLevelType w:val="hybridMultilevel"/>
    <w:tmpl w:val="910CD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E4275"/>
    <w:multiLevelType w:val="hybridMultilevel"/>
    <w:tmpl w:val="ABEC25B0"/>
    <w:lvl w:ilvl="0" w:tplc="8FFC41F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F4851"/>
    <w:multiLevelType w:val="hybridMultilevel"/>
    <w:tmpl w:val="44D02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61C5A"/>
    <w:multiLevelType w:val="multilevel"/>
    <w:tmpl w:val="D53E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2F4F47"/>
    <w:multiLevelType w:val="hybridMultilevel"/>
    <w:tmpl w:val="4372E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8713D"/>
    <w:multiLevelType w:val="hybridMultilevel"/>
    <w:tmpl w:val="EA4858F0"/>
    <w:lvl w:ilvl="0" w:tplc="93F82216">
      <w:start w:val="2"/>
      <w:numFmt w:val="bullet"/>
      <w:lvlText w:val="-"/>
      <w:lvlJc w:val="left"/>
      <w:pPr>
        <w:ind w:left="1647" w:hanging="360"/>
      </w:pPr>
      <w:rPr>
        <w:rFonts w:ascii="DIN-Regular" w:eastAsia="Times New Roman" w:hAnsi="DIN-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13FB9"/>
    <w:multiLevelType w:val="hybridMultilevel"/>
    <w:tmpl w:val="D708D974"/>
    <w:lvl w:ilvl="0" w:tplc="93F8221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DIN-Regular" w:eastAsia="Times New Roman" w:hAnsi="DIN-Regular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79691639"/>
    <w:multiLevelType w:val="hybridMultilevel"/>
    <w:tmpl w:val="ED289E6E"/>
    <w:lvl w:ilvl="0" w:tplc="B11066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IN-Regular" w:eastAsia="Times New Roman" w:hAnsi="DIN-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F4A75"/>
    <w:multiLevelType w:val="hybridMultilevel"/>
    <w:tmpl w:val="B17C51C6"/>
    <w:lvl w:ilvl="0" w:tplc="95D0E5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31"/>
  </w:num>
  <w:num w:numId="4">
    <w:abstractNumId w:val="19"/>
  </w:num>
  <w:num w:numId="5">
    <w:abstractNumId w:val="8"/>
  </w:num>
  <w:num w:numId="6">
    <w:abstractNumId w:val="16"/>
  </w:num>
  <w:num w:numId="7">
    <w:abstractNumId w:val="25"/>
  </w:num>
  <w:num w:numId="8">
    <w:abstractNumId w:val="18"/>
  </w:num>
  <w:num w:numId="9">
    <w:abstractNumId w:val="23"/>
  </w:num>
  <w:num w:numId="10">
    <w:abstractNumId w:val="20"/>
  </w:num>
  <w:num w:numId="11">
    <w:abstractNumId w:val="22"/>
  </w:num>
  <w:num w:numId="12">
    <w:abstractNumId w:val="14"/>
  </w:num>
  <w:num w:numId="13">
    <w:abstractNumId w:val="27"/>
  </w:num>
  <w:num w:numId="14">
    <w:abstractNumId w:val="5"/>
  </w:num>
  <w:num w:numId="15">
    <w:abstractNumId w:val="17"/>
  </w:num>
  <w:num w:numId="16">
    <w:abstractNumId w:val="10"/>
  </w:num>
  <w:num w:numId="17">
    <w:abstractNumId w:val="6"/>
  </w:num>
  <w:num w:numId="18">
    <w:abstractNumId w:val="29"/>
  </w:num>
  <w:num w:numId="19">
    <w:abstractNumId w:val="11"/>
  </w:num>
  <w:num w:numId="20">
    <w:abstractNumId w:val="13"/>
  </w:num>
  <w:num w:numId="21">
    <w:abstractNumId w:val="3"/>
  </w:num>
  <w:num w:numId="22">
    <w:abstractNumId w:val="30"/>
  </w:num>
  <w:num w:numId="23">
    <w:abstractNumId w:val="28"/>
  </w:num>
  <w:num w:numId="24">
    <w:abstractNumId w:val="7"/>
  </w:num>
  <w:num w:numId="25">
    <w:abstractNumId w:val="2"/>
  </w:num>
  <w:num w:numId="26">
    <w:abstractNumId w:val="12"/>
  </w:num>
  <w:num w:numId="27">
    <w:abstractNumId w:val="0"/>
  </w:num>
  <w:num w:numId="28">
    <w:abstractNumId w:val="4"/>
  </w:num>
  <w:num w:numId="29">
    <w:abstractNumId w:val="24"/>
  </w:num>
  <w:num w:numId="30">
    <w:abstractNumId w:val="1"/>
  </w:num>
  <w:num w:numId="31">
    <w:abstractNumId w:val="32"/>
  </w:num>
  <w:num w:numId="32">
    <w:abstractNumId w:val="2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09"/>
    <w:rsid w:val="000075BB"/>
    <w:rsid w:val="00016FF0"/>
    <w:rsid w:val="000363BE"/>
    <w:rsid w:val="00036F6B"/>
    <w:rsid w:val="00054236"/>
    <w:rsid w:val="00054719"/>
    <w:rsid w:val="00080986"/>
    <w:rsid w:val="000839A2"/>
    <w:rsid w:val="000917BA"/>
    <w:rsid w:val="000A0272"/>
    <w:rsid w:val="000F0A0A"/>
    <w:rsid w:val="00101BD9"/>
    <w:rsid w:val="0011040C"/>
    <w:rsid w:val="00123C82"/>
    <w:rsid w:val="00153D3A"/>
    <w:rsid w:val="00176DFD"/>
    <w:rsid w:val="00185035"/>
    <w:rsid w:val="00186F59"/>
    <w:rsid w:val="001B5E76"/>
    <w:rsid w:val="001C210B"/>
    <w:rsid w:val="001C611D"/>
    <w:rsid w:val="001F1568"/>
    <w:rsid w:val="001F3440"/>
    <w:rsid w:val="001F70FB"/>
    <w:rsid w:val="002038A3"/>
    <w:rsid w:val="00236B42"/>
    <w:rsid w:val="00260B4B"/>
    <w:rsid w:val="00275D43"/>
    <w:rsid w:val="00287865"/>
    <w:rsid w:val="002A18CB"/>
    <w:rsid w:val="002B60F9"/>
    <w:rsid w:val="002D5184"/>
    <w:rsid w:val="00313498"/>
    <w:rsid w:val="0034676D"/>
    <w:rsid w:val="00364176"/>
    <w:rsid w:val="003B1D15"/>
    <w:rsid w:val="003E711E"/>
    <w:rsid w:val="004265E8"/>
    <w:rsid w:val="00447A76"/>
    <w:rsid w:val="00484BB7"/>
    <w:rsid w:val="004A181C"/>
    <w:rsid w:val="004C1B9C"/>
    <w:rsid w:val="004D0AAB"/>
    <w:rsid w:val="004E4B61"/>
    <w:rsid w:val="00501090"/>
    <w:rsid w:val="00505222"/>
    <w:rsid w:val="00512368"/>
    <w:rsid w:val="00513F53"/>
    <w:rsid w:val="0054164B"/>
    <w:rsid w:val="0056539D"/>
    <w:rsid w:val="005B0A2A"/>
    <w:rsid w:val="005B58AF"/>
    <w:rsid w:val="005C7F4F"/>
    <w:rsid w:val="005E11F9"/>
    <w:rsid w:val="00601E86"/>
    <w:rsid w:val="006224F7"/>
    <w:rsid w:val="006304E8"/>
    <w:rsid w:val="0064308E"/>
    <w:rsid w:val="0064692D"/>
    <w:rsid w:val="0065044D"/>
    <w:rsid w:val="00695BF1"/>
    <w:rsid w:val="006A34FC"/>
    <w:rsid w:val="006B6F7A"/>
    <w:rsid w:val="006B7998"/>
    <w:rsid w:val="0070039E"/>
    <w:rsid w:val="0071709A"/>
    <w:rsid w:val="007541A4"/>
    <w:rsid w:val="0075650B"/>
    <w:rsid w:val="007660A3"/>
    <w:rsid w:val="007677A0"/>
    <w:rsid w:val="00773975"/>
    <w:rsid w:val="007974C1"/>
    <w:rsid w:val="007C2AD9"/>
    <w:rsid w:val="007C2CDB"/>
    <w:rsid w:val="007D0840"/>
    <w:rsid w:val="008168A7"/>
    <w:rsid w:val="00824134"/>
    <w:rsid w:val="00830350"/>
    <w:rsid w:val="00891833"/>
    <w:rsid w:val="008965BC"/>
    <w:rsid w:val="00896A7D"/>
    <w:rsid w:val="008A23BE"/>
    <w:rsid w:val="008A3641"/>
    <w:rsid w:val="008B4BBE"/>
    <w:rsid w:val="008B6734"/>
    <w:rsid w:val="008B79F3"/>
    <w:rsid w:val="008D7D46"/>
    <w:rsid w:val="008F6C21"/>
    <w:rsid w:val="00932195"/>
    <w:rsid w:val="00955D87"/>
    <w:rsid w:val="00975598"/>
    <w:rsid w:val="00A364C1"/>
    <w:rsid w:val="00A706C9"/>
    <w:rsid w:val="00AC031C"/>
    <w:rsid w:val="00AE1DA8"/>
    <w:rsid w:val="00B04DD7"/>
    <w:rsid w:val="00B11762"/>
    <w:rsid w:val="00B13DA5"/>
    <w:rsid w:val="00B26BFD"/>
    <w:rsid w:val="00B304F6"/>
    <w:rsid w:val="00B337BB"/>
    <w:rsid w:val="00B65B97"/>
    <w:rsid w:val="00B9125D"/>
    <w:rsid w:val="00B93601"/>
    <w:rsid w:val="00B942D3"/>
    <w:rsid w:val="00BD7DB6"/>
    <w:rsid w:val="00C03012"/>
    <w:rsid w:val="00C15BDB"/>
    <w:rsid w:val="00C2343B"/>
    <w:rsid w:val="00C47160"/>
    <w:rsid w:val="00C55C16"/>
    <w:rsid w:val="00C645C8"/>
    <w:rsid w:val="00C722B8"/>
    <w:rsid w:val="00C92D17"/>
    <w:rsid w:val="00CA38C8"/>
    <w:rsid w:val="00CA4BE8"/>
    <w:rsid w:val="00CC0474"/>
    <w:rsid w:val="00CD28CB"/>
    <w:rsid w:val="00CE2470"/>
    <w:rsid w:val="00D0084E"/>
    <w:rsid w:val="00D0308A"/>
    <w:rsid w:val="00D04ABE"/>
    <w:rsid w:val="00D32AE0"/>
    <w:rsid w:val="00D35747"/>
    <w:rsid w:val="00D40D77"/>
    <w:rsid w:val="00D9295B"/>
    <w:rsid w:val="00D95842"/>
    <w:rsid w:val="00DA42C1"/>
    <w:rsid w:val="00DB42E0"/>
    <w:rsid w:val="00E11134"/>
    <w:rsid w:val="00E166B0"/>
    <w:rsid w:val="00E22D44"/>
    <w:rsid w:val="00E37B74"/>
    <w:rsid w:val="00E72DF9"/>
    <w:rsid w:val="00E74955"/>
    <w:rsid w:val="00EA4BDE"/>
    <w:rsid w:val="00EB6419"/>
    <w:rsid w:val="00ED5282"/>
    <w:rsid w:val="00F27F69"/>
    <w:rsid w:val="00F543A9"/>
    <w:rsid w:val="00F61D09"/>
    <w:rsid w:val="00F7123D"/>
    <w:rsid w:val="00F85678"/>
    <w:rsid w:val="00FD467D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4D25C6"/>
  <w15:docId w15:val="{03922104-5BD8-4B18-A8AB-DED032A5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IN-Regular" w:hAnsi="DIN-Regular"/>
      <w:szCs w:val="22"/>
    </w:rPr>
  </w:style>
  <w:style w:type="paragraph" w:styleId="Titre1">
    <w:name w:val="heading 1"/>
    <w:basedOn w:val="Normal"/>
    <w:next w:val="Normal"/>
    <w:link w:val="Titre1Car"/>
    <w:qFormat/>
    <w:rsid w:val="002A18CB"/>
    <w:pPr>
      <w:keepNext/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539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61D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61D0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6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0084E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A18CB"/>
    <w:rPr>
      <w:rFonts w:ascii="DIN-Regular" w:hAnsi="DIN-Regular"/>
      <w:b/>
      <w:bCs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11134"/>
    <w:pPr>
      <w:ind w:left="708"/>
    </w:pPr>
  </w:style>
  <w:style w:type="character" w:customStyle="1" w:styleId="PieddepageCar">
    <w:name w:val="Pied de page Car"/>
    <w:link w:val="Pieddepage"/>
    <w:uiPriority w:val="99"/>
    <w:rsid w:val="00054236"/>
    <w:rPr>
      <w:rFonts w:ascii="DIN-Regular" w:hAnsi="DIN-Regular"/>
      <w:szCs w:val="22"/>
    </w:rPr>
  </w:style>
  <w:style w:type="character" w:customStyle="1" w:styleId="Titre2Car">
    <w:name w:val="Titre 2 Car"/>
    <w:basedOn w:val="Policepardfaut"/>
    <w:link w:val="Titre2"/>
    <w:uiPriority w:val="9"/>
    <w:semiHidden/>
    <w:rsid w:val="0056539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Lienhypertexte">
    <w:name w:val="Hyperlink"/>
    <w:basedOn w:val="Policepardfaut"/>
    <w:unhideWhenUsed/>
    <w:rsid w:val="00797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ent.donadille@ch-arl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1535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 DE DIRECTEUR ADJOINT</vt:lpstr>
    </vt:vector>
  </TitlesOfParts>
  <Company>Ministère de la Santé</Company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 DE DIRECTEUR ADJOINT</dc:title>
  <dc:creator>lpegoraro</dc:creator>
  <cp:lastModifiedBy>DONADILLE Laurent</cp:lastModifiedBy>
  <cp:revision>6</cp:revision>
  <cp:lastPrinted>2019-07-24T13:18:00Z</cp:lastPrinted>
  <dcterms:created xsi:type="dcterms:W3CDTF">2022-02-10T08:30:00Z</dcterms:created>
  <dcterms:modified xsi:type="dcterms:W3CDTF">2022-02-16T13:39:00Z</dcterms:modified>
</cp:coreProperties>
</file>